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69"/>
        <w:spacing w:line="560" w:lineRule="exact"/>
        <w:jc w:val="center"/>
        <w:rPr>
          <w:rFonts w:ascii="方正小标宋_GBK" w:eastAsia="方正小标宋_GBK"/>
          <w:sz w:val="44"/>
          <w:szCs w:val="44"/>
        </w:rPr>
      </w:pPr>
      <w:r>
        <w:rPr>
          <w:rFonts w:ascii="方正小标宋_GBK" w:eastAsia="方正小标宋_GBK" w:hint="eastAsia"/>
          <w:sz w:val="44"/>
          <w:szCs w:val="44"/>
        </w:rPr>
        <w:t>合肥海关</w:t>
      </w:r>
      <w:r>
        <w:rPr>
          <w:rFonts w:ascii="方正小标宋_GBK" w:eastAsia="方正小标宋_GBK"/>
          <w:sz w:val="44"/>
          <w:szCs w:val="44"/>
          <w:lang w:bidi="ar-SA"/>
        </w:rPr>
        <w:t>关区</w:t>
      </w:r>
      <w:r>
        <w:rPr>
          <w:rFonts w:ascii="方正小标宋_GBK" w:eastAsia="方正小标宋_GBK" w:hint="eastAsia"/>
          <w:sz w:val="44"/>
          <w:szCs w:val="44"/>
        </w:rPr>
        <w:t>2023年政府信息公开工作</w:t>
      </w:r>
    </w:p>
    <w:p>
      <w:pPr>
        <w:pStyle w:val="69"/>
        <w:spacing w:line="560" w:lineRule="exact"/>
        <w:ind w:left="0"/>
        <w:jc w:val="center"/>
        <w:rPr>
          <w:rFonts w:ascii="方正小标宋_GBK" w:eastAsia="方正小标宋_GBK" w:hint="eastAsia"/>
          <w:sz w:val="44"/>
          <w:szCs w:val="44"/>
        </w:rPr>
      </w:pPr>
      <w:r>
        <w:rPr>
          <w:rFonts w:ascii="方正小标宋_GBK" w:eastAsia="方正小标宋_GBK" w:hint="eastAsia"/>
          <w:sz w:val="44"/>
          <w:szCs w:val="44"/>
        </w:rPr>
        <w:t>年度报告</w:t>
      </w:r>
    </w:p>
    <w:p>
      <w:pPr>
        <w:pStyle w:val="69"/>
        <w:ind w:firstLineChars="200" w:firstLine="632"/>
        <w:jc w:val="left"/>
        <w:rPr>
          <w:rFonts w:ascii="方正仿宋_GBK"/>
        </w:rPr>
      </w:pPr>
    </w:p>
    <w:p>
      <w:pPr>
        <w:pStyle w:val="69"/>
        <w:spacing w:line="580" w:lineRule="exact"/>
        <w:ind w:firstLineChars="200" w:firstLine="632"/>
        <w:rPr>
          <w:rFonts w:hint="eastAsia"/>
        </w:rPr>
      </w:pPr>
      <w:r>
        <w:rPr>
          <w:rFonts w:hint="eastAsia"/>
        </w:rPr>
        <w:t>根据《中华人民共和国政府信息公开条例》和海关总署办公厅印发的《海关2023年政府信息公开工作年度报告（模板）》的格式要求，合肥海关梳理本级机关及所属17个隶属海关政府信息公开工作情况，编制本年度报告。</w:t>
      </w:r>
    </w:p>
    <w:p>
      <w:pPr>
        <w:pStyle w:val="69"/>
        <w:spacing w:line="580" w:lineRule="exact"/>
        <w:ind w:firstLineChars="200" w:firstLine="632"/>
        <w:rPr>
          <w:rFonts w:eastAsia="方正黑体_GBK" w:hint="eastAsia"/>
        </w:rPr>
      </w:pPr>
      <w:r>
        <w:rPr>
          <w:rFonts w:eastAsia="方正黑体_GBK" w:hint="eastAsia"/>
        </w:rPr>
        <w:t>一、基本情况</w:t>
      </w:r>
    </w:p>
    <w:p>
      <w:pPr>
        <w:pStyle w:val="69"/>
        <w:spacing w:line="580" w:lineRule="exact"/>
        <w:ind w:firstLineChars="200" w:firstLine="632"/>
        <w:rPr>
          <w:rFonts w:hint="eastAsia"/>
        </w:rPr>
      </w:pPr>
      <w:r>
        <w:rPr>
          <w:rFonts w:hint="eastAsia"/>
        </w:rPr>
        <w:t>2023年，合肥海关坚持以习近平新时代中国特色社会主义思想为指导，深入学习宣传贯彻党的二十大精神，按照《中华人民共和国政府信息公开条例》规定，认真落实海关总署政务公开各项工作要求，切实推进关区政务公开工作的深入开展。</w:t>
      </w:r>
    </w:p>
    <w:p>
      <w:pPr>
        <w:pStyle w:val="69"/>
        <w:spacing w:line="580" w:lineRule="exact"/>
        <w:ind w:firstLineChars="200" w:firstLine="632"/>
        <w:rPr>
          <w:rFonts w:eastAsia="方正楷体_GBK" w:hint="eastAsia"/>
        </w:rPr>
      </w:pPr>
      <w:r>
        <w:rPr>
          <w:rFonts w:eastAsia="方正楷体_GBK" w:hint="eastAsia"/>
        </w:rPr>
        <w:t>（一）完成隶属海关政务公开标准化规范化建设工作。</w:t>
      </w:r>
    </w:p>
    <w:p>
      <w:pPr>
        <w:pStyle w:val="70"/>
        <w:spacing w:line="580" w:lineRule="exact"/>
        <w:ind w:firstLineChars="200" w:firstLine="632"/>
        <w:rPr>
          <w:rFonts w:hint="eastAsia"/>
        </w:rPr>
      </w:pPr>
      <w:r>
        <w:rPr>
          <w:rFonts w:hint="eastAsia"/>
          <w:szCs w:val="32"/>
        </w:rPr>
        <w:t>按照《海关总署办公厅关于全面推进海关领域基层政务公开标准化规范化工作的通知》要求，我关强化组织领导、编制标准目录、聚焦工作重点，持续推进工作开展。</w:t>
      </w:r>
      <w:r>
        <w:rPr>
          <w:rFonts w:hint="eastAsia"/>
        </w:rPr>
        <w:t>截至2023年底，合肥海关所属</w:t>
      </w:r>
      <w:r>
        <w:rPr>
          <w:rFonts w:hint="eastAsia"/>
          <w:sz w:val="32"/>
          <w:szCs w:val="32"/>
        </w:rPr>
        <w:t>17个隶属海关全部</w:t>
      </w:r>
      <w:r>
        <w:rPr>
          <w:rFonts w:hint="eastAsia"/>
        </w:rPr>
        <w:t>完成达标评估，形成了一批政务公开服务品牌。</w:t>
      </w:r>
      <w:r>
        <w:rPr>
          <w:rFonts w:hint="eastAsia"/>
          <w:sz w:val="32"/>
          <w:szCs w:val="32"/>
        </w:rPr>
        <w:t>其中，滁州海关在基层政务公开标准化规范化推进工作中表现突出，被海关总署通报表扬</w:t>
      </w:r>
      <w:r>
        <w:rPr>
          <w:rFonts w:hint="eastAsia"/>
        </w:rPr>
        <w:t>。</w:t>
      </w:r>
    </w:p>
    <w:p>
      <w:pPr>
        <w:pStyle w:val="71"/>
        <w:spacing w:line="580" w:lineRule="exact"/>
        <w:ind w:firstLineChars="200" w:firstLine="632"/>
        <w:rPr>
          <w:rFonts w:eastAsia="方正楷体_GBK" w:hint="eastAsia"/>
        </w:rPr>
      </w:pPr>
      <w:r>
        <w:rPr>
          <w:rFonts w:eastAsia="方正楷体_GBK" w:hint="eastAsia"/>
        </w:rPr>
        <w:t>（二）优化政务公开平台建设。</w:t>
      </w:r>
    </w:p>
    <w:p>
      <w:pPr>
        <w:pStyle w:val="72"/>
        <w:spacing w:line="580" w:lineRule="exact"/>
        <w:ind w:firstLineChars="200" w:firstLine="632"/>
        <w:rPr>
          <w:rFonts w:hint="eastAsia"/>
        </w:rPr>
      </w:pPr>
      <w:r>
        <w:rPr>
          <w:rFonts w:hint="eastAsia"/>
        </w:rPr>
        <w:t>在合肥海关门户网站增加隶属海关公开栏目内容，新开设“RCEP专栏</w:t>
      </w:r>
      <w:r>
        <w:rPr>
          <w:rFonts w:hint="eastAsia"/>
          <w:bdr w:val="none" w:sz="0" w:space="0" w:color="auto"/>
        </w:rPr>
        <w:t>”、“</w:t>
      </w:r>
      <w:r>
        <w:rPr>
          <w:rFonts w:hint="eastAsia"/>
        </w:rPr>
        <w:t>AEO企业认证场景式服</w:t>
      </w:r>
      <w:r>
        <w:rPr>
          <w:rFonts w:hint="eastAsia"/>
          <w:bdr w:val="none" w:sz="0" w:space="0" w:color="auto"/>
        </w:rPr>
        <w:t>务”事项</w:t>
      </w:r>
      <w:r>
        <w:rPr>
          <w:rFonts w:hint="eastAsia"/>
        </w:rPr>
        <w:t>；在隶属海关报关大厅和业务现场设置政务公开专区，集中公开机构职能、履职依据、执法人员、互动交流渠道和办事服务等信息。2023年，关区通过合肥海关门户网站公开海关政府信息1676条，通过微信公众号发布信息225条。受理办结政府信息公开申请10件。发布政策解读信息39篇次，开展调查征集活动8期，回复各类业务咨询及问题339条次。海关12360热线全年接听咨询电话16416条，电话接通率99.04%。</w:t>
      </w:r>
    </w:p>
    <w:p>
      <w:pPr>
        <w:pStyle w:val="73"/>
        <w:spacing w:line="580" w:lineRule="exact"/>
        <w:ind w:firstLineChars="200" w:firstLine="632"/>
        <w:rPr>
          <w:rFonts w:eastAsia="方正楷体_GBK" w:hint="eastAsia"/>
        </w:rPr>
      </w:pPr>
      <w:r>
        <w:rPr>
          <w:rFonts w:eastAsia="方正楷体_GBK" w:hint="eastAsia"/>
        </w:rPr>
        <w:t>（三）加强政策宣讲和解读。</w:t>
      </w:r>
    </w:p>
    <w:p>
      <w:pPr>
        <w:pStyle w:val="73"/>
        <w:spacing w:line="580" w:lineRule="exact"/>
        <w:ind w:firstLineChars="200" w:firstLine="632"/>
        <w:rPr>
          <w:rFonts w:hint="eastAsia"/>
        </w:rPr>
      </w:pPr>
      <w:r>
        <w:rPr>
          <w:rFonts w:hint="eastAsia"/>
        </w:rPr>
        <w:t>依托门户网站、政务新媒体和关企微信群，广泛推送海关惠企利民政策措施。通过“合畅2023”专项行动和合肥海关优化营商环境26条措施宣贯活动，帮助企业用足用好各项海关惠企利民政策。走访辖区重点外贸企业，主动收集、整理企业和群众对海关政策文件的意见问题，通过关企座谈、面对面咨询服务等形式，及时进行信息反馈。</w:t>
      </w:r>
    </w:p>
    <w:p>
      <w:pPr>
        <w:pStyle w:val="74"/>
        <w:spacing w:line="580" w:lineRule="exact"/>
        <w:ind w:firstLineChars="200" w:firstLine="632"/>
        <w:rPr>
          <w:rFonts w:eastAsia="方正楷体_GBK" w:hint="eastAsia"/>
        </w:rPr>
      </w:pPr>
      <w:r>
        <w:rPr>
          <w:rFonts w:eastAsia="方正楷体_GBK" w:hint="eastAsia"/>
        </w:rPr>
        <w:t>（四）严格落实监督保障机制。</w:t>
      </w:r>
    </w:p>
    <w:p>
      <w:pPr>
        <w:pStyle w:val="74"/>
        <w:spacing w:line="580" w:lineRule="exact"/>
        <w:ind w:firstLineChars="200" w:firstLine="632"/>
        <w:rPr>
          <w:rFonts w:hint="eastAsia"/>
        </w:rPr>
      </w:pPr>
      <w:r>
        <w:t>加强</w:t>
      </w:r>
      <w:r>
        <w:rPr>
          <w:rFonts w:hint="eastAsia"/>
        </w:rPr>
        <w:t>对海关政府信息发布内容</w:t>
      </w:r>
      <w:r>
        <w:t>、</w:t>
      </w:r>
      <w:r>
        <w:rPr>
          <w:rFonts w:hint="eastAsia"/>
        </w:rPr>
        <w:t>12360热线</w:t>
      </w:r>
      <w:r>
        <w:t>答复</w:t>
      </w:r>
      <w:r>
        <w:rPr>
          <w:rFonts w:hint="eastAsia"/>
        </w:rPr>
        <w:t>质量</w:t>
      </w:r>
      <w:r>
        <w:t>、</w:t>
      </w:r>
      <w:r>
        <w:rPr>
          <w:rFonts w:hint="eastAsia"/>
        </w:rPr>
        <w:t>业务咨询的办理</w:t>
      </w:r>
      <w:r>
        <w:t>、</w:t>
      </w:r>
      <w:r>
        <w:rPr>
          <w:rFonts w:hint="eastAsia"/>
        </w:rPr>
        <w:t>对外互动交流渠道是否畅通等开展常态化的</w:t>
      </w:r>
      <w:r>
        <w:t>常态化</w:t>
      </w:r>
      <w:r>
        <w:rPr>
          <w:rFonts w:hint="eastAsia"/>
        </w:rPr>
        <w:t>检查</w:t>
      </w:r>
      <w:r>
        <w:t>，</w:t>
      </w:r>
      <w:r>
        <w:rPr>
          <w:rFonts w:hint="eastAsia"/>
        </w:rPr>
        <w:t>对发现的问题，及时督促责任单位部门整改；严格落实信息发布三级审核机制，全年</w:t>
      </w:r>
      <w:r>
        <w:t>未发生失</w:t>
      </w:r>
      <w:r>
        <w:rPr>
          <w:rFonts w:hint="eastAsia"/>
        </w:rPr>
        <w:t>泄密事件；持续开展关区政务公开业务培训，提升工作人员业务能力；开展隶属海关政务公开标准化规范化建设工作督导，推进</w:t>
      </w:r>
      <w:r>
        <w:t>达标</w:t>
      </w:r>
      <w:r>
        <w:rPr>
          <w:rFonts w:hint="eastAsia"/>
        </w:rPr>
        <w:t>工作的顺利完成。</w:t>
      </w:r>
    </w:p>
    <w:p>
      <w:pPr>
        <w:pStyle w:val="69"/>
        <w:spacing w:line="580" w:lineRule="exact"/>
        <w:ind w:firstLineChars="200" w:firstLine="632"/>
        <w:rPr>
          <w:rFonts w:eastAsia="方正黑体_GBK" w:cs="楷体_GB2312" w:hint="eastAsia"/>
          <w:bCs/>
          <w:bdr w:val="none" w:sz="0" w:space="0" w:color="auto"/>
          <w:lang w:bidi="ar-SA"/>
        </w:rPr>
      </w:pPr>
      <w:r>
        <w:rPr>
          <w:rFonts w:eastAsia="方正黑体_GBK" w:cs="楷体_GB2312" w:hint="eastAsia"/>
          <w:bCs/>
          <w:bdr w:val="none" w:sz="0" w:space="0" w:color="auto"/>
          <w:lang w:bidi="ar-SA"/>
        </w:rPr>
        <w:t>二、主动公开政府信息情况</w:t>
      </w:r>
    </w:p>
    <w:tbl>
      <w:tblPr>
        <w:jc w:val="center"/>
        <w:tblW w:w="8995"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2720"/>
        <w:gridCol w:w="2183"/>
        <w:gridCol w:w="1936"/>
        <w:gridCol w:w="2156"/>
      </w:tblGrid>
      <w:tr>
        <w:trPr>
          <w:trHeight w:val="495"/>
        </w:trPr>
        <w:tc>
          <w:tcPr>
            <w:tcW w:w="8995" w:type="dxa"/>
            <w:gridSpan w:val="4"/>
            <w:tcBorders>
              <w:top w:val="single" w:sz="8" w:space="0" w:color="auto"/>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55"/>
              <w:widowControl/>
              <w:jc w:val="center"/>
              <w:rPr>
                <w:rFonts w:eastAsia="方正仿宋_GBK" w:hint="eastAsia"/>
                <w:color w:val="auto"/>
                <w:sz w:val="24"/>
                <w:szCs w:val="24"/>
              </w:rPr>
            </w:pPr>
            <w:r>
              <w:rPr>
                <w:rFonts w:eastAsia="方正仿宋_GBK" w:cs="宋体" w:hint="eastAsia"/>
                <w:color w:val="auto"/>
                <w:kern w:val="0"/>
                <w:sz w:val="24"/>
                <w:szCs w:val="24"/>
                <w:lang w:bidi="ar-SA"/>
              </w:rPr>
              <w:t>第二十条第（一）项</w:t>
            </w:r>
          </w:p>
        </w:tc>
      </w:tr>
      <w:tr>
        <w:trPr>
          <w:trHeight w:val="68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jc w:val="center"/>
              <w:rPr>
                <w:rFonts w:eastAsia="方正仿宋_GBK" w:hint="eastAsia"/>
                <w:color w:val="auto"/>
                <w:sz w:val="24"/>
                <w:szCs w:val="24"/>
              </w:rPr>
            </w:pPr>
            <w:r>
              <w:rPr>
                <w:rFonts w:eastAsia="方正仿宋_GBK" w:cs="宋体" w:hint="eastAsia"/>
                <w:color w:val="auto"/>
                <w:kern w:val="0"/>
                <w:sz w:val="24"/>
                <w:szCs w:val="24"/>
                <w:lang w:bidi="ar-SA"/>
              </w:rPr>
              <w:t>信息内容</w:t>
            </w:r>
          </w:p>
        </w:tc>
        <w:tc>
          <w:tcPr>
            <w:tcW w:w="2183"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jc w:val="center"/>
              <w:rPr>
                <w:rFonts w:eastAsia="方正仿宋_GBK" w:hint="eastAsia"/>
                <w:color w:val="auto"/>
                <w:sz w:val="24"/>
                <w:szCs w:val="24"/>
              </w:rPr>
            </w:pPr>
            <w:r>
              <w:rPr>
                <w:rFonts w:eastAsia="方正仿宋_GBK" w:cs="宋体" w:hint="eastAsia"/>
                <w:color w:val="auto"/>
                <w:kern w:val="0"/>
                <w:sz w:val="24"/>
                <w:szCs w:val="24"/>
                <w:lang w:bidi="ar-SA"/>
              </w:rPr>
              <w:t>本年</w:t>
            </w:r>
            <w:r>
              <w:rPr>
                <w:rFonts w:eastAsia="方正仿宋_GBK" w:hint="eastAsia"/>
                <w:color w:val="auto"/>
                <w:kern w:val="0"/>
                <w:sz w:val="24"/>
                <w:szCs w:val="24"/>
              </w:rPr>
              <w:t>制发件数</w:t>
            </w:r>
          </w:p>
        </w:tc>
        <w:tc>
          <w:tcPr>
            <w:tcW w:w="1936"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jc w:val="center"/>
              <w:rPr>
                <w:rFonts w:eastAsia="方正仿宋_GBK" w:hint="eastAsia"/>
                <w:color w:val="auto"/>
                <w:sz w:val="24"/>
                <w:szCs w:val="24"/>
              </w:rPr>
            </w:pPr>
            <w:r>
              <w:rPr>
                <w:rFonts w:eastAsia="方正仿宋_GBK" w:cs="宋体" w:hint="eastAsia"/>
                <w:color w:val="auto"/>
                <w:kern w:val="0"/>
                <w:sz w:val="24"/>
                <w:szCs w:val="24"/>
                <w:lang w:bidi="ar-SA"/>
              </w:rPr>
              <w:t>本年废止件</w:t>
            </w:r>
            <w:r>
              <w:rPr>
                <w:rFonts w:eastAsia="方正仿宋_GBK" w:hint="eastAsia"/>
                <w:color w:val="auto"/>
                <w:kern w:val="0"/>
                <w:sz w:val="24"/>
                <w:szCs w:val="24"/>
              </w:rPr>
              <w:t>数</w:t>
            </w:r>
          </w:p>
        </w:tc>
        <w:tc>
          <w:tcPr>
            <w:tcW w:w="2156" w:type="dxa"/>
            <w:tcBorders>
              <w:top w:val="nil"/>
              <w:left w:val="nil"/>
              <w:bottom w:val="single" w:sz="8" w:space="0" w:color="auto"/>
              <w:right w:val="single" w:sz="8" w:space="0" w:color="auto"/>
              <w:tl2br w:val="nil"/>
              <w:tr2bl w:val="nil"/>
            </w:tcBorders>
            <w:shd w:val="clear" w:color="auto" w:fill="auto"/>
            <w:vAlign w:val="center"/>
          </w:tcPr>
          <w:p>
            <w:pPr>
              <w:pStyle w:val="55"/>
              <w:widowControl/>
              <w:jc w:val="center"/>
              <w:rPr>
                <w:rFonts w:eastAsia="方正仿宋_GBK" w:hint="eastAsia"/>
                <w:color w:val="auto"/>
                <w:sz w:val="24"/>
                <w:szCs w:val="24"/>
              </w:rPr>
            </w:pPr>
            <w:r>
              <w:rPr>
                <w:rFonts w:eastAsia="方正仿宋_GBK" w:cs="宋体" w:hint="eastAsia"/>
                <w:color w:val="auto"/>
                <w:kern w:val="0"/>
                <w:sz w:val="24"/>
                <w:szCs w:val="24"/>
                <w:lang w:bidi="ar-SA"/>
              </w:rPr>
              <w:t>现行有效件数</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adjustRightInd w:val="0"/>
              <w:snapToGrid w:val="0"/>
              <w:spacing w:line="260" w:lineRule="exact"/>
              <w:jc w:val="center"/>
              <w:rPr>
                <w:rFonts w:eastAsia="方正仿宋_GBK" w:hint="eastAsia"/>
                <w:color w:val="auto"/>
                <w:sz w:val="24"/>
                <w:szCs w:val="24"/>
              </w:rPr>
            </w:pPr>
            <w:r>
              <w:rPr>
                <w:rFonts w:eastAsia="方正仿宋_GBK" w:cs="宋体" w:hint="eastAsia"/>
                <w:color w:val="auto"/>
                <w:kern w:val="0"/>
                <w:sz w:val="24"/>
                <w:szCs w:val="24"/>
                <w:lang w:bidi="ar-SA"/>
              </w:rPr>
              <w:t>规章</w:t>
            </w:r>
          </w:p>
        </w:tc>
        <w:tc>
          <w:tcPr>
            <w:tcW w:w="2183"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jc w:val="center"/>
              <w:rPr>
                <w:rFonts w:eastAsia="方正仿宋_GBK" w:hint="eastAsia"/>
                <w:sz w:val="24"/>
                <w:szCs w:val="24"/>
              </w:rPr>
            </w:pPr>
            <w:r>
              <w:rPr>
                <w:rFonts w:eastAsia="方正仿宋_GBK" w:hint="eastAsia"/>
                <w:sz w:val="24"/>
                <w:szCs w:val="24"/>
              </w:rPr>
              <w:t>0</w:t>
            </w:r>
          </w:p>
        </w:tc>
        <w:tc>
          <w:tcPr>
            <w:tcW w:w="1936"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jc w:val="center"/>
              <w:rPr>
                <w:rFonts w:eastAsia="方正仿宋_GBK" w:hint="eastAsia"/>
                <w:sz w:val="24"/>
                <w:szCs w:val="24"/>
              </w:rPr>
            </w:pPr>
            <w:r>
              <w:rPr>
                <w:rFonts w:eastAsia="方正仿宋_GBK" w:hint="eastAsia"/>
                <w:sz w:val="24"/>
                <w:szCs w:val="24"/>
              </w:rPr>
              <w:t>0</w:t>
            </w:r>
          </w:p>
        </w:tc>
        <w:tc>
          <w:tcPr>
            <w:tcW w:w="2156" w:type="dxa"/>
            <w:tcBorders>
              <w:top w:val="nil"/>
              <w:left w:val="nil"/>
              <w:bottom w:val="single" w:sz="8" w:space="0" w:color="auto"/>
              <w:right w:val="single" w:sz="8" w:space="0" w:color="auto"/>
              <w:tl2br w:val="nil"/>
              <w:tr2bl w:val="nil"/>
            </w:tcBorders>
            <w:shd w:val="clear" w:color="auto" w:fill="auto"/>
            <w:vAlign w:val="center"/>
          </w:tcPr>
          <w:p>
            <w:pPr>
              <w:pStyle w:val="55"/>
              <w:jc w:val="center"/>
              <w:rPr>
                <w:rFonts w:eastAsia="方正仿宋_GBK" w:hint="eastAsia"/>
                <w:sz w:val="24"/>
                <w:szCs w:val="24"/>
              </w:rPr>
            </w:pPr>
            <w:r>
              <w:rPr>
                <w:rFonts w:eastAsia="方正仿宋_GBK" w:hint="eastAsia"/>
                <w:sz w:val="24"/>
                <w:szCs w:val="24"/>
              </w:rPr>
              <w:t>0</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adjustRightInd w:val="0"/>
              <w:snapToGrid w:val="0"/>
              <w:spacing w:line="260" w:lineRule="exact"/>
              <w:jc w:val="center"/>
              <w:rPr>
                <w:rFonts w:eastAsia="方正仿宋_GBK" w:hint="eastAsia"/>
                <w:color w:val="auto"/>
                <w:sz w:val="24"/>
                <w:szCs w:val="24"/>
              </w:rPr>
            </w:pPr>
            <w:r>
              <w:rPr>
                <w:rFonts w:eastAsia="方正仿宋_GBK" w:cs="宋体" w:hint="eastAsia"/>
                <w:color w:val="auto"/>
                <w:kern w:val="0"/>
                <w:sz w:val="24"/>
                <w:szCs w:val="24"/>
                <w:lang w:bidi="ar-SA"/>
              </w:rPr>
              <w:t>行政规范性文件</w:t>
            </w:r>
          </w:p>
        </w:tc>
        <w:tc>
          <w:tcPr>
            <w:tcW w:w="2183"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jc w:val="center"/>
              <w:rPr>
                <w:rFonts w:eastAsia="方正仿宋_GBK" w:hint="eastAsia"/>
                <w:sz w:val="24"/>
                <w:szCs w:val="24"/>
              </w:rPr>
            </w:pPr>
            <w:r>
              <w:rPr>
                <w:rFonts w:eastAsia="方正仿宋_GBK" w:hint="eastAsia"/>
                <w:sz w:val="24"/>
                <w:szCs w:val="24"/>
              </w:rPr>
              <w:t>2</w:t>
            </w:r>
          </w:p>
        </w:tc>
        <w:tc>
          <w:tcPr>
            <w:tcW w:w="1936"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jc w:val="center"/>
              <w:rPr>
                <w:rFonts w:eastAsia="方正仿宋_GBK" w:hint="eastAsia"/>
                <w:sz w:val="24"/>
                <w:szCs w:val="24"/>
              </w:rPr>
            </w:pPr>
            <w:r>
              <w:rPr>
                <w:rFonts w:eastAsia="方正仿宋_GBK" w:hint="eastAsia"/>
                <w:sz w:val="24"/>
                <w:szCs w:val="24"/>
              </w:rPr>
              <w:t>12</w:t>
            </w:r>
          </w:p>
        </w:tc>
        <w:tc>
          <w:tcPr>
            <w:tcW w:w="2156" w:type="dxa"/>
            <w:tcBorders>
              <w:top w:val="nil"/>
              <w:left w:val="nil"/>
              <w:bottom w:val="single" w:sz="8" w:space="0" w:color="auto"/>
              <w:right w:val="single" w:sz="8" w:space="0" w:color="auto"/>
              <w:tl2br w:val="nil"/>
              <w:tr2bl w:val="nil"/>
            </w:tcBorders>
            <w:shd w:val="clear" w:color="auto" w:fill="auto"/>
            <w:vAlign w:val="center"/>
          </w:tcPr>
          <w:p>
            <w:pPr>
              <w:pStyle w:val="55"/>
              <w:jc w:val="center"/>
              <w:rPr>
                <w:rFonts w:eastAsia="方正仿宋_GBK" w:hint="eastAsia"/>
                <w:sz w:val="24"/>
                <w:szCs w:val="24"/>
              </w:rPr>
            </w:pPr>
            <w:r>
              <w:rPr>
                <w:rFonts w:eastAsia="方正仿宋_GBK" w:hint="eastAsia"/>
                <w:sz w:val="24"/>
                <w:szCs w:val="24"/>
              </w:rPr>
              <w:t>17</w:t>
            </w:r>
          </w:p>
        </w:tc>
      </w:tr>
      <w:tr>
        <w:trPr>
          <w:trHeight w:val="435"/>
        </w:trPr>
        <w:tc>
          <w:tcPr>
            <w:tcW w:w="8995"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55"/>
              <w:widowControl/>
              <w:jc w:val="center"/>
              <w:rPr>
                <w:rFonts w:eastAsia="方正仿宋_GBK" w:hint="eastAsia"/>
                <w:color w:val="auto"/>
                <w:sz w:val="24"/>
                <w:szCs w:val="24"/>
              </w:rPr>
            </w:pPr>
            <w:r>
              <w:rPr>
                <w:rFonts w:eastAsia="方正仿宋_GBK" w:cs="宋体" w:hint="eastAsia"/>
                <w:kern w:val="0"/>
                <w:sz w:val="24"/>
                <w:szCs w:val="24"/>
                <w:lang w:bidi="ar-SA"/>
              </w:rPr>
              <w:t>第二十条第（五）项</w:t>
            </w:r>
          </w:p>
        </w:tc>
      </w:tr>
      <w:tr>
        <w:trPr>
          <w:trHeight w:val="68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adjustRightInd w:val="0"/>
              <w:snapToGrid w:val="0"/>
              <w:spacing w:line="260" w:lineRule="exact"/>
              <w:jc w:val="center"/>
              <w:rPr>
                <w:rFonts w:eastAsia="方正仿宋_GBK" w:hint="eastAsia"/>
                <w:color w:val="auto"/>
                <w:sz w:val="24"/>
                <w:szCs w:val="24"/>
              </w:rPr>
            </w:pPr>
            <w:r>
              <w:rPr>
                <w:rFonts w:eastAsia="方正仿宋_GBK" w:cs="宋体" w:hint="eastAsia"/>
                <w:color w:val="auto"/>
                <w:kern w:val="0"/>
                <w:sz w:val="24"/>
                <w:szCs w:val="24"/>
                <w:lang w:bidi="ar-SA"/>
              </w:rPr>
              <w:t>信息内容</w:t>
            </w:r>
          </w:p>
        </w:tc>
        <w:tc>
          <w:tcPr>
            <w:tcW w:w="6275" w:type="dxa"/>
            <w:gridSpan w:val="3"/>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7"/>
              <w:widowControl/>
              <w:adjustRightInd w:val="0"/>
              <w:snapToGrid w:val="0"/>
              <w:spacing w:line="260" w:lineRule="exact"/>
              <w:jc w:val="center"/>
              <w:rPr>
                <w:rFonts w:eastAsia="方正仿宋_GBK" w:hint="eastAsia"/>
                <w:color w:val="auto"/>
                <w:sz w:val="24"/>
                <w:szCs w:val="24"/>
              </w:rPr>
            </w:pPr>
            <w:r>
              <w:rPr>
                <w:rFonts w:eastAsia="方正仿宋_GBK" w:cs="宋体" w:hint="eastAsia"/>
                <w:color w:val="auto"/>
                <w:kern w:val="0"/>
                <w:sz w:val="24"/>
                <w:szCs w:val="24"/>
                <w:lang w:bidi="ar-SA"/>
              </w:rPr>
              <w:t>本年处理决定数量</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adjustRightInd w:val="0"/>
              <w:snapToGrid w:val="0"/>
              <w:spacing w:line="260" w:lineRule="exact"/>
              <w:jc w:val="center"/>
              <w:rPr>
                <w:rFonts w:eastAsia="方正仿宋_GBK" w:hint="eastAsia"/>
                <w:color w:val="auto"/>
                <w:sz w:val="24"/>
                <w:szCs w:val="24"/>
              </w:rPr>
            </w:pPr>
            <w:r>
              <w:rPr>
                <w:rFonts w:eastAsia="方正仿宋_GBK" w:cs="宋体" w:hint="eastAsia"/>
                <w:color w:val="auto"/>
                <w:kern w:val="0"/>
                <w:sz w:val="24"/>
                <w:szCs w:val="24"/>
                <w:lang w:bidi="ar-SA"/>
              </w:rPr>
              <w:t>行政许可</w:t>
            </w:r>
          </w:p>
        </w:tc>
        <w:tc>
          <w:tcPr>
            <w:tcW w:w="6275" w:type="dxa"/>
            <w:gridSpan w:val="3"/>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8"/>
              <w:jc w:val="center"/>
              <w:rPr>
                <w:rFonts w:eastAsia="方正仿宋_GBK" w:cs="宋体" w:hint="eastAsia"/>
                <w:sz w:val="24"/>
                <w:szCs w:val="24"/>
                <w:lang w:bidi="ar-SA"/>
              </w:rPr>
            </w:pPr>
            <w:r>
              <w:rPr>
                <w:rFonts w:eastAsia="方正仿宋_GBK" w:cs="宋体" w:hint="eastAsia"/>
                <w:sz w:val="24"/>
                <w:szCs w:val="24"/>
                <w:lang w:bidi="ar-SA"/>
              </w:rPr>
              <w:t>824</w:t>
            </w:r>
          </w:p>
        </w:tc>
      </w:tr>
      <w:tr>
        <w:trPr>
          <w:trHeight w:val="406"/>
        </w:trPr>
        <w:tc>
          <w:tcPr>
            <w:tcW w:w="8995"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55"/>
              <w:widowControl/>
              <w:jc w:val="center"/>
              <w:rPr>
                <w:rFonts w:eastAsia="方正仿宋_GBK" w:hint="eastAsia"/>
                <w:color w:val="auto"/>
                <w:sz w:val="24"/>
                <w:szCs w:val="24"/>
              </w:rPr>
            </w:pPr>
            <w:r>
              <w:rPr>
                <w:rFonts w:eastAsia="方正仿宋_GBK" w:cs="宋体" w:hint="eastAsia"/>
                <w:kern w:val="0"/>
                <w:sz w:val="24"/>
                <w:szCs w:val="24"/>
                <w:lang w:bidi="ar-SA"/>
              </w:rPr>
              <w:t>第二十条第（六）项</w:t>
            </w:r>
          </w:p>
        </w:tc>
      </w:tr>
      <w:tr>
        <w:trPr>
          <w:trHeight w:val="68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adjustRightInd w:val="0"/>
              <w:snapToGrid w:val="0"/>
              <w:spacing w:line="260" w:lineRule="exact"/>
              <w:jc w:val="center"/>
              <w:rPr>
                <w:rFonts w:eastAsia="方正仿宋_GBK" w:hint="eastAsia"/>
                <w:color w:val="auto"/>
                <w:sz w:val="24"/>
                <w:szCs w:val="24"/>
              </w:rPr>
            </w:pPr>
            <w:r>
              <w:rPr>
                <w:rFonts w:eastAsia="方正仿宋_GBK" w:cs="宋体" w:hint="eastAsia"/>
                <w:color w:val="auto"/>
                <w:kern w:val="0"/>
                <w:sz w:val="24"/>
                <w:szCs w:val="24"/>
                <w:lang w:bidi="ar-SA"/>
              </w:rPr>
              <w:t>信息内容</w:t>
            </w:r>
          </w:p>
        </w:tc>
        <w:tc>
          <w:tcPr>
            <w:tcW w:w="6275" w:type="dxa"/>
            <w:gridSpan w:val="3"/>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9"/>
              <w:widowControl/>
              <w:adjustRightInd w:val="0"/>
              <w:snapToGrid w:val="0"/>
              <w:spacing w:line="260" w:lineRule="exact"/>
              <w:jc w:val="center"/>
              <w:rPr>
                <w:rFonts w:eastAsia="方正仿宋_GBK" w:hint="eastAsia"/>
                <w:color w:val="auto"/>
                <w:sz w:val="24"/>
                <w:szCs w:val="24"/>
              </w:rPr>
            </w:pPr>
            <w:r>
              <w:rPr>
                <w:rFonts w:eastAsia="方正仿宋_GBK" w:cs="宋体" w:hint="eastAsia"/>
                <w:color w:val="auto"/>
                <w:kern w:val="0"/>
                <w:sz w:val="24"/>
                <w:szCs w:val="24"/>
                <w:lang w:bidi="ar-SA"/>
              </w:rPr>
              <w:t>本年处理决定数量</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adjustRightInd w:val="0"/>
              <w:snapToGrid w:val="0"/>
              <w:spacing w:line="260" w:lineRule="exact"/>
              <w:jc w:val="center"/>
              <w:rPr>
                <w:rFonts w:eastAsia="方正仿宋_GBK" w:hint="eastAsia"/>
                <w:color w:val="auto"/>
                <w:sz w:val="24"/>
                <w:szCs w:val="24"/>
              </w:rPr>
            </w:pPr>
            <w:r>
              <w:rPr>
                <w:rFonts w:eastAsia="方正仿宋_GBK" w:cs="宋体" w:hint="eastAsia"/>
                <w:color w:val="auto"/>
                <w:kern w:val="0"/>
                <w:sz w:val="24"/>
                <w:szCs w:val="24"/>
                <w:lang w:bidi="ar-SA"/>
              </w:rPr>
              <w:t>行政处罚</w:t>
            </w:r>
          </w:p>
        </w:tc>
        <w:tc>
          <w:tcPr>
            <w:tcW w:w="6275" w:type="dxa"/>
            <w:gridSpan w:val="3"/>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jc w:val="center"/>
              <w:rPr>
                <w:rFonts w:eastAsia="方正仿宋_GBK" w:cs="宋体" w:hint="eastAsia"/>
                <w:sz w:val="24"/>
                <w:szCs w:val="24"/>
                <w:lang w:bidi="ar-SA"/>
              </w:rPr>
            </w:pPr>
            <w:r>
              <w:rPr>
                <w:rFonts w:eastAsia="方正仿宋_GBK" w:cs="宋体" w:hint="eastAsia"/>
                <w:sz w:val="24"/>
                <w:szCs w:val="24"/>
                <w:lang w:bidi="ar-SA"/>
              </w:rPr>
              <w:t>232</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adjustRightInd w:val="0"/>
              <w:snapToGrid w:val="0"/>
              <w:spacing w:line="260" w:lineRule="exact"/>
              <w:jc w:val="center"/>
              <w:rPr>
                <w:rFonts w:eastAsia="方正仿宋_GBK" w:hint="eastAsia"/>
                <w:color w:val="auto"/>
                <w:sz w:val="24"/>
                <w:szCs w:val="24"/>
              </w:rPr>
            </w:pPr>
            <w:r>
              <w:rPr>
                <w:rFonts w:eastAsia="方正仿宋_GBK" w:cs="宋体" w:hint="eastAsia"/>
                <w:color w:val="auto"/>
                <w:kern w:val="0"/>
                <w:sz w:val="24"/>
                <w:szCs w:val="24"/>
                <w:lang w:bidi="ar-SA"/>
              </w:rPr>
              <w:t>行政强制</w:t>
            </w:r>
          </w:p>
        </w:tc>
        <w:tc>
          <w:tcPr>
            <w:tcW w:w="6275" w:type="dxa"/>
            <w:gridSpan w:val="3"/>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0"/>
              <w:jc w:val="center"/>
              <w:rPr>
                <w:rFonts w:eastAsia="方正仿宋_GBK" w:cs="宋体" w:hint="eastAsia"/>
                <w:sz w:val="24"/>
                <w:szCs w:val="24"/>
                <w:lang w:bidi="ar-SA"/>
              </w:rPr>
            </w:pPr>
            <w:r>
              <w:rPr>
                <w:rFonts w:eastAsia="方正仿宋_GBK" w:cs="宋体" w:hint="eastAsia"/>
                <w:sz w:val="24"/>
                <w:szCs w:val="24"/>
                <w:lang w:bidi="ar-SA"/>
              </w:rPr>
              <w:t>29</w:t>
            </w:r>
          </w:p>
        </w:tc>
      </w:tr>
    </w:tbl>
    <w:p>
      <w:pPr>
        <w:pStyle w:val="26"/>
        <w:widowControl/>
        <w:shd w:val="clear" w:color="auto" w:fill="FFFFFF"/>
        <w:adjustRightInd w:val="0"/>
        <w:snapToGrid w:val="0"/>
        <w:spacing w:beforeAutospacing="0" w:afterLines="50" w:after="290" w:afterAutospacing="0" w:line="560" w:lineRule="exact"/>
        <w:ind w:left="0" w:firstLineChars="200" w:firstLine="632"/>
        <w:jc w:val="both"/>
        <w:rPr>
          <w:rFonts w:eastAsia="方正黑体_GBK" w:cs="楷体_GB2312" w:hint="eastAsia"/>
          <w:bCs/>
          <w:sz w:val="32"/>
          <w:szCs w:val="32"/>
          <w:shd w:val="clear" w:color="auto" w:fill="FFFFFF"/>
          <w:lang w:bidi="ar-SA"/>
        </w:rPr>
      </w:pPr>
      <w:r>
        <w:rPr>
          <w:rFonts w:eastAsia="方正黑体_GBK" w:cs="楷体_GB2312" w:hint="eastAsia"/>
          <w:bCs/>
          <w:sz w:val="32"/>
          <w:szCs w:val="32"/>
          <w:shd w:val="clear" w:color="auto" w:fill="FFFFFF"/>
          <w:lang w:bidi="ar-SA"/>
        </w:rPr>
        <w:t>三、收到和处理政府信息公开申请情况</w:t>
      </w:r>
    </w:p>
    <w:tbl>
      <w:tblPr>
        <w:jc w:val="center"/>
        <w:tblW w:w="9071"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Layout w:type="fixed"/>
        <w:tblCellMar>
          <w:top w:w="0" w:type="dxa"/>
          <w:left w:w="0" w:type="dxa"/>
          <w:bottom w:w="0" w:type="dxa"/>
          <w:right w:w="0" w:type="dxa"/>
        </w:tblCellMar>
      </w:tblPr>
      <w:tblGrid>
        <w:gridCol w:w="696"/>
        <w:gridCol w:w="936"/>
        <w:gridCol w:w="2670"/>
        <w:gridCol w:w="635"/>
        <w:gridCol w:w="675"/>
        <w:gridCol w:w="750"/>
        <w:gridCol w:w="765"/>
        <w:gridCol w:w="765"/>
        <w:gridCol w:w="497"/>
        <w:gridCol w:w="682"/>
      </w:tblGrid>
      <w:tr>
        <w:trPr>
          <w:tblHeader/>
        </w:trPr>
        <w:tc>
          <w:tcPr>
            <w:tcW w:w="4302" w:type="dxa"/>
            <w:gridSpan w:val="3"/>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center"/>
              <w:rPr>
                <w:rFonts w:eastAsia="方正仿宋_GBK" w:hint="eastAsia"/>
                <w:color w:val="auto"/>
              </w:rPr>
            </w:pPr>
            <w:r>
              <w:rPr>
                <w:rFonts w:eastAsia="方正仿宋_GBK" w:cs="宋体" w:hint="eastAsia"/>
                <w:color w:val="auto"/>
                <w:kern w:val="0"/>
                <w:sz w:val="20"/>
                <w:szCs w:val="20"/>
                <w:lang w:bidi="ar-SA"/>
              </w:rPr>
              <w:t>（本列数据的勾稽关系为：第一项加第二项之和，等于第三项加第四项之和）</w:t>
            </w:r>
          </w:p>
        </w:tc>
        <w:tc>
          <w:tcPr>
            <w:tcW w:w="4769" w:type="dxa"/>
            <w:gridSpan w:val="7"/>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center"/>
              <w:rPr>
                <w:rFonts w:eastAsia="方正仿宋_GBK" w:hint="eastAsia"/>
                <w:color w:val="auto"/>
              </w:rPr>
            </w:pPr>
            <w:r>
              <w:rPr>
                <w:rFonts w:eastAsia="方正仿宋_GBK" w:cs="宋体" w:hint="eastAsia"/>
                <w:color w:val="auto"/>
                <w:kern w:val="0"/>
                <w:sz w:val="20"/>
                <w:szCs w:val="20"/>
                <w:lang w:bidi="ar-SA"/>
              </w:rPr>
              <w:t>申请人情况</w:t>
            </w:r>
          </w:p>
        </w:tc>
      </w:tr>
      <w:tr>
        <w:trPr>
          <w:tblHeader/>
        </w:trPr>
        <w:tc>
          <w:tcPr>
            <w:tcW w:w="4302" w:type="dxa"/>
            <w:gridSpan w:val="3"/>
            <w:vMerge/>
            <w:tcBorders>
              <w:top w:val="single" w:sz="8" w:space="0" w:color="auto"/>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635"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center"/>
              <w:rPr>
                <w:rFonts w:eastAsia="方正仿宋_GBK" w:hint="eastAsia"/>
                <w:color w:val="auto"/>
              </w:rPr>
            </w:pPr>
            <w:r>
              <w:rPr>
                <w:rFonts w:eastAsia="方正仿宋_GBK" w:cs="宋体" w:hint="eastAsia"/>
                <w:color w:val="auto"/>
                <w:kern w:val="0"/>
                <w:sz w:val="20"/>
                <w:szCs w:val="20"/>
                <w:lang w:bidi="ar-SA"/>
              </w:rPr>
              <w:t>自然人</w:t>
            </w:r>
          </w:p>
        </w:tc>
        <w:tc>
          <w:tcPr>
            <w:tcW w:w="3452" w:type="dxa"/>
            <w:gridSpan w:val="5"/>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center"/>
              <w:rPr>
                <w:rFonts w:eastAsia="方正仿宋_GBK" w:hint="eastAsia"/>
                <w:color w:val="auto"/>
              </w:rPr>
            </w:pPr>
            <w:r>
              <w:rPr>
                <w:rFonts w:eastAsia="方正仿宋_GBK" w:cs="宋体" w:hint="eastAsia"/>
                <w:color w:val="auto"/>
                <w:kern w:val="0"/>
                <w:sz w:val="20"/>
                <w:szCs w:val="20"/>
                <w:lang w:bidi="ar-SA"/>
              </w:rPr>
              <w:t>法人或其他组织</w:t>
            </w:r>
          </w:p>
        </w:tc>
        <w:tc>
          <w:tcPr>
            <w:tcW w:w="682" w:type="dxa"/>
            <w:vMerge w:val="restart"/>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center"/>
              <w:rPr>
                <w:rFonts w:eastAsia="方正仿宋_GBK" w:hint="eastAsia"/>
                <w:color w:val="auto"/>
              </w:rPr>
            </w:pPr>
            <w:r>
              <w:rPr>
                <w:rFonts w:eastAsia="方正仿宋_GBK" w:cs="宋体" w:hint="eastAsia"/>
                <w:color w:val="auto"/>
                <w:kern w:val="0"/>
                <w:sz w:val="20"/>
                <w:szCs w:val="20"/>
                <w:lang w:bidi="ar-SA"/>
              </w:rPr>
              <w:t>总计</w:t>
            </w:r>
          </w:p>
        </w:tc>
      </w:tr>
      <w:tr>
        <w:trPr>
          <w:trHeight w:val="649"/>
          <w:tblHeader/>
        </w:trPr>
        <w:tc>
          <w:tcPr>
            <w:tcW w:w="4302" w:type="dxa"/>
            <w:gridSpan w:val="3"/>
            <w:vMerge/>
            <w:tcBorders>
              <w:top w:val="single" w:sz="8" w:space="0" w:color="auto"/>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635"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center"/>
              <w:rPr>
                <w:rFonts w:eastAsia="方正仿宋_GBK" w:hint="eastAsia"/>
                <w:color w:val="auto"/>
              </w:rPr>
            </w:pPr>
            <w:r>
              <w:rPr>
                <w:rFonts w:eastAsia="方正仿宋_GBK" w:cs="宋体" w:hint="eastAsia"/>
                <w:color w:val="auto"/>
                <w:kern w:val="0"/>
                <w:sz w:val="20"/>
                <w:szCs w:val="20"/>
                <w:lang w:bidi="ar-SA"/>
              </w:rPr>
              <w:t>商业企业</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center"/>
              <w:rPr>
                <w:rFonts w:eastAsia="方正仿宋_GBK" w:hint="eastAsia"/>
                <w:color w:val="auto"/>
              </w:rPr>
            </w:pPr>
            <w:r>
              <w:rPr>
                <w:rFonts w:eastAsia="方正仿宋_GBK" w:cs="宋体" w:hint="eastAsia"/>
                <w:color w:val="auto"/>
                <w:kern w:val="0"/>
                <w:sz w:val="20"/>
                <w:szCs w:val="20"/>
                <w:lang w:bidi="ar-SA"/>
              </w:rPr>
              <w:t>科研机构</w:t>
            </w:r>
          </w:p>
        </w:tc>
        <w:tc>
          <w:tcPr>
            <w:tcW w:w="76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center"/>
              <w:rPr>
                <w:rFonts w:eastAsia="方正仿宋_GBK" w:hint="eastAsia"/>
                <w:color w:val="auto"/>
              </w:rPr>
            </w:pPr>
            <w:r>
              <w:rPr>
                <w:rFonts w:eastAsia="方正仿宋_GBK" w:cs="宋体" w:hint="eastAsia"/>
                <w:color w:val="auto"/>
                <w:kern w:val="0"/>
                <w:sz w:val="20"/>
                <w:szCs w:val="20"/>
                <w:lang w:bidi="ar-SA"/>
              </w:rPr>
              <w:t>社会公益组织</w:t>
            </w:r>
          </w:p>
        </w:tc>
        <w:tc>
          <w:tcPr>
            <w:tcW w:w="76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center"/>
              <w:rPr>
                <w:rFonts w:eastAsia="方正仿宋_GBK" w:hint="eastAsia"/>
                <w:color w:val="auto"/>
              </w:rPr>
            </w:pPr>
            <w:r>
              <w:rPr>
                <w:rFonts w:eastAsia="方正仿宋_GBK" w:cs="宋体" w:hint="eastAsia"/>
                <w:color w:val="auto"/>
                <w:kern w:val="0"/>
                <w:sz w:val="20"/>
                <w:szCs w:val="20"/>
                <w:lang w:bidi="ar-SA"/>
              </w:rPr>
              <w:t>法律服务机构</w:t>
            </w:r>
          </w:p>
        </w:tc>
        <w:tc>
          <w:tcPr>
            <w:tcW w:w="497"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center"/>
              <w:rPr>
                <w:rFonts w:eastAsia="方正仿宋_GBK" w:hint="eastAsia"/>
                <w:color w:val="auto"/>
              </w:rPr>
            </w:pPr>
            <w:r>
              <w:rPr>
                <w:rFonts w:eastAsia="方正仿宋_GBK" w:cs="宋体" w:hint="eastAsia"/>
                <w:color w:val="auto"/>
                <w:kern w:val="0"/>
                <w:sz w:val="20"/>
                <w:szCs w:val="20"/>
                <w:lang w:bidi="ar-SA"/>
              </w:rPr>
              <w:t>其他</w:t>
            </w:r>
          </w:p>
        </w:tc>
        <w:tc>
          <w:tcPr>
            <w:tcW w:w="682" w:type="dxa"/>
            <w:vMerge/>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tc>
      </w:tr>
      <w:tr>
        <w:tc>
          <w:tcPr>
            <w:tcW w:w="4302" w:type="dxa"/>
            <w:gridSpan w:val="3"/>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tcPr>
          <w:p>
            <w:pPr>
              <w:pStyle w:val="55"/>
              <w:widowControl/>
              <w:spacing w:line="560" w:lineRule="exact"/>
              <w:jc w:val="left"/>
              <w:rPr>
                <w:rFonts w:eastAsia="方正仿宋_GBK" w:hint="eastAsia"/>
                <w:color w:val="auto"/>
                <w:sz w:val="24"/>
                <w:szCs w:val="24"/>
              </w:rPr>
            </w:pPr>
            <w:r>
              <w:rPr>
                <w:rFonts w:eastAsia="方正仿宋_GBK" w:cs="宋体" w:hint="eastAsia"/>
                <w:color w:val="auto"/>
                <w:kern w:val="0"/>
                <w:sz w:val="24"/>
                <w:szCs w:val="24"/>
                <w:lang w:bidi="ar-SA"/>
              </w:rPr>
              <w:t>一、本年新收政府信息公开申请数量</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spacing w:line="560" w:lineRule="exact"/>
              <w:jc w:val="center"/>
              <w:rPr>
                <w:rFonts w:eastAsia="方正仿宋_GBK" w:hint="eastAsia"/>
                <w:sz w:val="24"/>
                <w:szCs w:val="24"/>
              </w:rPr>
            </w:pPr>
            <w:r>
              <w:rPr>
                <w:rFonts w:eastAsia="方正仿宋_GBK" w:hint="eastAsia"/>
                <w:sz w:val="24"/>
                <w:szCs w:val="24"/>
              </w:rPr>
              <w:t>10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10</w:t>
            </w:r>
          </w:p>
        </w:tc>
      </w:tr>
      <w:tr>
        <w:tc>
          <w:tcPr>
            <w:tcW w:w="4302" w:type="dxa"/>
            <w:gridSpan w:val="3"/>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tcPr>
          <w:p>
            <w:pPr>
              <w:pStyle w:val="55"/>
              <w:widowControl/>
              <w:spacing w:line="560" w:lineRule="exact"/>
              <w:jc w:val="left"/>
              <w:rPr>
                <w:rFonts w:eastAsia="方正仿宋_GBK" w:hint="eastAsia"/>
                <w:color w:val="auto"/>
                <w:sz w:val="24"/>
                <w:szCs w:val="24"/>
              </w:rPr>
            </w:pPr>
            <w:r>
              <w:rPr>
                <w:rFonts w:eastAsia="方正仿宋_GBK" w:cs="宋体" w:hint="eastAsia"/>
                <w:color w:val="auto"/>
                <w:kern w:val="0"/>
                <w:sz w:val="24"/>
                <w:szCs w:val="24"/>
                <w:lang w:bidi="ar-SA"/>
              </w:rPr>
              <w:t>二、上年结转政府信息公开申请数量</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spacing w:line="560" w:lineRule="exact"/>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r>
      <w:tr>
        <w:tc>
          <w:tcPr>
            <w:tcW w:w="696" w:type="dxa"/>
            <w:vMerge w:val="restart"/>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center"/>
              <w:rPr>
                <w:rFonts w:eastAsia="方正仿宋_GBK" w:hint="eastAsia"/>
                <w:color w:val="auto"/>
                <w:sz w:val="24"/>
                <w:szCs w:val="24"/>
              </w:rPr>
            </w:pPr>
            <w:r>
              <w:rPr>
                <w:rFonts w:eastAsia="方正仿宋_GBK" w:cs="宋体" w:hint="eastAsia"/>
                <w:color w:val="auto"/>
                <w:kern w:val="0"/>
                <w:sz w:val="24"/>
                <w:szCs w:val="24"/>
                <w:lang w:bidi="ar-SA"/>
              </w:rPr>
              <w:t>三、本年度办理结果</w:t>
            </w:r>
          </w:p>
        </w:tc>
        <w:tc>
          <w:tcPr>
            <w:tcW w:w="3606" w:type="dxa"/>
            <w:gridSpan w:val="2"/>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left"/>
              <w:rPr>
                <w:rFonts w:eastAsia="方正仿宋_GBK" w:hint="eastAsia"/>
                <w:color w:val="auto"/>
                <w:sz w:val="24"/>
                <w:szCs w:val="24"/>
              </w:rPr>
            </w:pPr>
            <w:r>
              <w:rPr>
                <w:rFonts w:eastAsia="方正仿宋_GBK" w:cs="楷体" w:hint="eastAsia"/>
                <w:color w:val="auto"/>
                <w:kern w:val="0"/>
                <w:sz w:val="24"/>
                <w:szCs w:val="24"/>
                <w:lang w:bidi="ar-SA"/>
              </w:rPr>
              <w:t>（一）予以公开</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1</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82"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1</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3606" w:type="dxa"/>
            <w:gridSpan w:val="2"/>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left"/>
              <w:rPr>
                <w:rFonts w:eastAsia="方正仿宋_GBK" w:hint="eastAsia"/>
                <w:color w:val="auto"/>
                <w:sz w:val="24"/>
                <w:szCs w:val="24"/>
              </w:rPr>
            </w:pPr>
            <w:r>
              <w:rPr>
                <w:rFonts w:eastAsia="方正仿宋_GBK" w:cs="楷体" w:hint="eastAsia"/>
                <w:color w:val="auto"/>
                <w:kern w:val="0"/>
                <w:sz w:val="24"/>
                <w:szCs w:val="24"/>
                <w:lang w:bidi="ar-SA"/>
              </w:rPr>
              <w:t>（二）部分公开（区分处理的，只计这一情形，不计其他情形）</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1</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1</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rPr>
                <w:rFonts w:eastAsia="方正仿宋_GBK" w:hint="eastAsia"/>
                <w:color w:val="auto"/>
                <w:sz w:val="24"/>
                <w:szCs w:val="24"/>
              </w:rPr>
            </w:pPr>
            <w:r>
              <w:rPr>
                <w:rFonts w:eastAsia="方正仿宋_GBK" w:cs="楷体" w:hint="eastAsia"/>
                <w:color w:val="auto"/>
                <w:kern w:val="0"/>
                <w:sz w:val="24"/>
                <w:szCs w:val="24"/>
                <w:lang w:bidi="ar-SA"/>
              </w:rPr>
              <w:t>（三）不予公开</w:t>
            </w: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rPr>
                <w:rFonts w:eastAsia="方正仿宋_GBK" w:hint="eastAsia"/>
                <w:color w:val="auto"/>
                <w:sz w:val="24"/>
                <w:szCs w:val="24"/>
              </w:rPr>
            </w:pPr>
            <w:r>
              <w:rPr>
                <w:rFonts w:eastAsia="方正仿宋_GBK" w:cs="楷体" w:hint="eastAsia"/>
                <w:color w:val="auto"/>
                <w:kern w:val="0"/>
                <w:sz w:val="24"/>
                <w:szCs w:val="24"/>
                <w:lang w:bidi="ar-SA"/>
              </w:rPr>
              <w:t>1.属于国家秘密</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82"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rPr>
                <w:rFonts w:eastAsia="方正仿宋_GBK" w:hint="eastAsia"/>
                <w:color w:val="auto"/>
                <w:sz w:val="24"/>
                <w:szCs w:val="24"/>
              </w:rPr>
            </w:pPr>
            <w:r>
              <w:rPr>
                <w:rFonts w:eastAsia="方正仿宋_GBK" w:cs="楷体" w:hint="eastAsia"/>
                <w:color w:val="auto"/>
                <w:kern w:val="0"/>
                <w:sz w:val="24"/>
                <w:szCs w:val="24"/>
                <w:lang w:bidi="ar-SA"/>
              </w:rPr>
              <w:t>2.其他法律行政法规禁止公开</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rPr>
                <w:rFonts w:eastAsia="方正仿宋_GBK" w:hint="eastAsia"/>
                <w:color w:val="auto"/>
                <w:sz w:val="24"/>
                <w:szCs w:val="24"/>
              </w:rPr>
            </w:pPr>
            <w:r>
              <w:rPr>
                <w:rFonts w:eastAsia="方正仿宋_GBK" w:cs="楷体" w:hint="eastAsia"/>
                <w:color w:val="auto"/>
                <w:kern w:val="0"/>
                <w:sz w:val="24"/>
                <w:szCs w:val="24"/>
                <w:lang w:bidi="ar-SA"/>
              </w:rPr>
              <w:t>3.危及“三安全一稳定”</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rPr>
                <w:rFonts w:eastAsia="方正仿宋_GBK" w:hint="eastAsia"/>
                <w:color w:val="auto"/>
                <w:sz w:val="24"/>
                <w:szCs w:val="24"/>
              </w:rPr>
            </w:pPr>
            <w:r>
              <w:rPr>
                <w:rFonts w:eastAsia="方正仿宋_GBK" w:cs="楷体" w:hint="eastAsia"/>
                <w:color w:val="auto"/>
                <w:kern w:val="0"/>
                <w:sz w:val="24"/>
                <w:szCs w:val="24"/>
                <w:lang w:bidi="ar-SA"/>
              </w:rPr>
              <w:t>4.保护第三方合法权益</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rPr>
                <w:rFonts w:eastAsia="方正仿宋_GBK" w:hint="eastAsia"/>
                <w:color w:val="auto"/>
                <w:sz w:val="24"/>
                <w:szCs w:val="24"/>
              </w:rPr>
            </w:pPr>
            <w:r>
              <w:rPr>
                <w:rFonts w:eastAsia="方正仿宋_GBK" w:cs="楷体" w:hint="eastAsia"/>
                <w:color w:val="auto"/>
                <w:kern w:val="0"/>
                <w:sz w:val="24"/>
                <w:szCs w:val="24"/>
                <w:lang w:bidi="ar-SA"/>
              </w:rPr>
              <w:t>5.属于三类内部事务信息</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rPr>
                <w:rFonts w:eastAsia="方正仿宋_GBK" w:hint="eastAsia"/>
                <w:color w:val="auto"/>
                <w:sz w:val="24"/>
                <w:szCs w:val="24"/>
              </w:rPr>
            </w:pPr>
            <w:r>
              <w:rPr>
                <w:rFonts w:eastAsia="方正仿宋_GBK" w:cs="楷体" w:hint="eastAsia"/>
                <w:color w:val="auto"/>
                <w:kern w:val="0"/>
                <w:sz w:val="24"/>
                <w:szCs w:val="24"/>
                <w:lang w:bidi="ar-SA"/>
              </w:rPr>
              <w:t>6.属于四类过程性信息</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rPr>
                <w:rFonts w:eastAsia="方正仿宋_GBK" w:hint="eastAsia"/>
                <w:color w:val="auto"/>
                <w:sz w:val="24"/>
                <w:szCs w:val="24"/>
              </w:rPr>
            </w:pPr>
            <w:r>
              <w:rPr>
                <w:rFonts w:eastAsia="方正仿宋_GBK" w:cs="楷体" w:hint="eastAsia"/>
                <w:color w:val="auto"/>
                <w:kern w:val="0"/>
                <w:sz w:val="24"/>
                <w:szCs w:val="24"/>
                <w:lang w:bidi="ar-SA"/>
              </w:rPr>
              <w:t>7.属于行政执法案卷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rPr>
                <w:rFonts w:eastAsia="方正仿宋_GBK" w:hint="eastAsia"/>
                <w:color w:val="auto"/>
                <w:sz w:val="24"/>
                <w:szCs w:val="24"/>
              </w:rPr>
            </w:pPr>
            <w:r>
              <w:rPr>
                <w:rFonts w:eastAsia="方正仿宋_GBK" w:cs="楷体" w:hint="eastAsia"/>
                <w:color w:val="auto"/>
                <w:kern w:val="0"/>
                <w:sz w:val="24"/>
                <w:szCs w:val="24"/>
                <w:lang w:bidi="ar-SA"/>
              </w:rPr>
              <w:t>8.属于行政查询事项</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rPr>
                <w:rFonts w:eastAsia="方正仿宋_GBK" w:hint="eastAsia"/>
                <w:color w:val="auto"/>
                <w:sz w:val="24"/>
                <w:szCs w:val="24"/>
              </w:rPr>
            </w:pPr>
            <w:r>
              <w:rPr>
                <w:rFonts w:eastAsia="方正仿宋_GBK" w:cs="楷体" w:hint="eastAsia"/>
                <w:color w:val="auto"/>
                <w:kern w:val="0"/>
                <w:sz w:val="24"/>
                <w:szCs w:val="24"/>
                <w:lang w:bidi="ar-SA"/>
              </w:rPr>
              <w:t>（四）无法提供</w:t>
            </w: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rPr>
                <w:rFonts w:eastAsia="方正仿宋_GBK" w:hint="eastAsia"/>
                <w:color w:val="auto"/>
                <w:sz w:val="24"/>
                <w:szCs w:val="24"/>
              </w:rPr>
            </w:pPr>
            <w:r>
              <w:rPr>
                <w:rFonts w:eastAsia="方正仿宋_GBK" w:cs="楷体" w:hint="eastAsia"/>
                <w:color w:val="auto"/>
                <w:kern w:val="0"/>
                <w:sz w:val="24"/>
                <w:szCs w:val="24"/>
                <w:lang w:bidi="ar-SA"/>
              </w:rPr>
              <w:t>1.本机关不掌握相关政府信息</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2</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2</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rPr>
                <w:rFonts w:eastAsia="方正仿宋_GBK" w:hint="eastAsia"/>
                <w:color w:val="auto"/>
                <w:sz w:val="24"/>
                <w:szCs w:val="24"/>
              </w:rPr>
            </w:pPr>
            <w:r>
              <w:rPr>
                <w:rFonts w:eastAsia="方正仿宋_GBK" w:cs="楷体" w:hint="eastAsia"/>
                <w:color w:val="auto"/>
                <w:kern w:val="0"/>
                <w:sz w:val="24"/>
                <w:szCs w:val="24"/>
                <w:lang w:bidi="ar-SA"/>
              </w:rPr>
              <w:t>2.没有现成信息需要另行制作</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rPr>
                <w:rFonts w:eastAsia="方正仿宋_GBK" w:hint="eastAsia"/>
                <w:color w:val="auto"/>
                <w:sz w:val="24"/>
                <w:szCs w:val="24"/>
              </w:rPr>
            </w:pPr>
            <w:r>
              <w:rPr>
                <w:rFonts w:eastAsia="方正仿宋_GBK" w:cs="楷体" w:hint="eastAsia"/>
                <w:color w:val="auto"/>
                <w:kern w:val="0"/>
                <w:sz w:val="24"/>
                <w:szCs w:val="24"/>
                <w:lang w:bidi="ar-SA"/>
              </w:rPr>
              <w:t>3.补正后申请内容仍不明确</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rPr>
                <w:rFonts w:eastAsia="方正仿宋_GBK" w:hint="eastAsia"/>
                <w:color w:val="auto"/>
                <w:sz w:val="24"/>
                <w:szCs w:val="24"/>
              </w:rPr>
            </w:pPr>
            <w:r>
              <w:rPr>
                <w:rFonts w:eastAsia="方正仿宋_GBK" w:cs="楷体" w:hint="eastAsia"/>
                <w:color w:val="auto"/>
                <w:kern w:val="0"/>
                <w:sz w:val="24"/>
                <w:szCs w:val="24"/>
                <w:lang w:bidi="ar-SA"/>
              </w:rPr>
              <w:t>（五）不予处理</w:t>
            </w: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rPr>
                <w:rFonts w:eastAsia="方正仿宋_GBK" w:hint="eastAsia"/>
                <w:color w:val="auto"/>
                <w:sz w:val="24"/>
                <w:szCs w:val="24"/>
              </w:rPr>
            </w:pPr>
            <w:r>
              <w:rPr>
                <w:rFonts w:eastAsia="方正仿宋_GBK" w:cs="楷体" w:hint="eastAsia"/>
                <w:color w:val="auto"/>
                <w:kern w:val="0"/>
                <w:sz w:val="24"/>
                <w:szCs w:val="24"/>
                <w:lang w:bidi="ar-SA"/>
              </w:rPr>
              <w:t>1.信访举报投诉类申请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rPr>
                <w:rFonts w:eastAsia="方正仿宋_GBK" w:hint="eastAsia"/>
                <w:color w:val="auto"/>
                <w:sz w:val="24"/>
                <w:szCs w:val="24"/>
              </w:rPr>
            </w:pPr>
            <w:r>
              <w:rPr>
                <w:rFonts w:eastAsia="方正仿宋_GBK" w:cs="楷体" w:hint="eastAsia"/>
                <w:color w:val="auto"/>
                <w:kern w:val="0"/>
                <w:sz w:val="24"/>
                <w:szCs w:val="24"/>
                <w:lang w:bidi="ar-SA"/>
              </w:rPr>
              <w:t>2.重复申请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rPr>
                <w:rFonts w:eastAsia="方正仿宋_GBK" w:hint="eastAsia"/>
                <w:color w:val="auto"/>
                <w:sz w:val="24"/>
                <w:szCs w:val="24"/>
              </w:rPr>
            </w:pPr>
            <w:r>
              <w:rPr>
                <w:rFonts w:eastAsia="方正仿宋_GBK" w:cs="楷体" w:hint="eastAsia"/>
                <w:color w:val="auto"/>
                <w:kern w:val="0"/>
                <w:sz w:val="24"/>
                <w:szCs w:val="24"/>
                <w:lang w:bidi="ar-SA"/>
              </w:rPr>
              <w:t>3.要求提供公开出版物</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r>
      <w:tr>
        <w:trPr>
          <w:trHeight w:val="810"/>
        </w:trP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rPr>
                <w:rFonts w:eastAsia="方正仿宋_GBK" w:hint="eastAsia"/>
                <w:color w:val="auto"/>
                <w:sz w:val="24"/>
                <w:szCs w:val="24"/>
              </w:rPr>
            </w:pPr>
            <w:r>
              <w:rPr>
                <w:rFonts w:eastAsia="方正仿宋_GBK" w:cs="楷体" w:hint="eastAsia"/>
                <w:color w:val="auto"/>
                <w:kern w:val="0"/>
                <w:sz w:val="24"/>
                <w:szCs w:val="24"/>
                <w:lang w:bidi="ar-SA"/>
              </w:rPr>
              <w:t>4.无正当理由大量反复申请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rPr>
                <w:rFonts w:eastAsia="方正仿宋_GBK" w:hint="eastAsia"/>
                <w:color w:val="auto"/>
                <w:sz w:val="24"/>
                <w:szCs w:val="24"/>
              </w:rPr>
            </w:pPr>
            <w:r>
              <w:rPr>
                <w:rFonts w:eastAsia="方正仿宋_GBK" w:cs="楷体" w:hint="eastAsia"/>
                <w:color w:val="auto"/>
                <w:kern w:val="0"/>
                <w:sz w:val="24"/>
                <w:szCs w:val="24"/>
                <w:lang w:bidi="ar-SA"/>
              </w:rPr>
              <w:t>5.要求行政机关确认或重新出具已获取信息</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r>
      <w:tr>
        <w:trPr>
          <w:trHeight w:val="567"/>
        </w:trP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rPr>
                <w:rFonts w:eastAsia="方正仿宋_GBK" w:hint="eastAsia"/>
                <w:color w:val="auto"/>
                <w:sz w:val="24"/>
                <w:szCs w:val="24"/>
              </w:rPr>
            </w:pPr>
            <w:r>
              <w:rPr>
                <w:rFonts w:eastAsia="方正仿宋_GBK" w:cs="楷体" w:hint="eastAsia"/>
                <w:color w:val="auto"/>
                <w:kern w:val="0"/>
                <w:sz w:val="24"/>
                <w:szCs w:val="24"/>
                <w:lang w:bidi="ar-SA"/>
              </w:rPr>
              <w:t>（六）其他处理</w:t>
            </w:r>
          </w:p>
        </w:tc>
        <w:tc>
          <w:tcPr>
            <w:tcW w:w="2670" w:type="dxa"/>
            <w:tcBorders>
              <w:top w:val="nil"/>
              <w:left w:val="single" w:sz="8" w:space="0" w:color="auto"/>
              <w:bottom w:val="single" w:sz="8" w:space="0" w:color="auto"/>
              <w:right w:val="single" w:sz="8" w:space="0" w:color="auto"/>
              <w:tl2br w:val="nil"/>
              <w:tr2bl w:val="nil"/>
            </w:tcBorders>
            <w:shd w:val="clear" w:color="auto" w:fill="auto"/>
          </w:tcPr>
          <w:p>
            <w:pPr>
              <w:pStyle w:val="55"/>
              <w:widowControl/>
              <w:spacing w:line="560" w:lineRule="exact"/>
              <w:rPr>
                <w:rFonts w:eastAsia="方正仿宋_GBK" w:cs="楷体" w:hint="eastAsia"/>
                <w:kern w:val="0"/>
                <w:sz w:val="24"/>
                <w:szCs w:val="24"/>
                <w:lang w:bidi="ar-SA"/>
              </w:rPr>
            </w:pPr>
            <w:r>
              <w:rPr>
                <w:rFonts w:eastAsia="方正仿宋_GBK" w:cs="楷体" w:hint="eastAsia"/>
                <w:kern w:val="0"/>
                <w:sz w:val="24"/>
                <w:szCs w:val="24"/>
                <w:lang w:bidi="ar-SA"/>
              </w:rPr>
              <w:t>1.申请人无正当理由逾期不补正、行政机关不再处理其政府信息公开申请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r>
      <w:tr>
        <w:trPr>
          <w:trHeight w:val="567"/>
        </w:trPr>
        <w:tc>
          <w:tcPr>
            <w:tcW w:w="696" w:type="dxa"/>
            <w:vMerge/>
            <w:tcBorders>
              <w:top w:val="nil"/>
              <w:left w:val="single" w:sz="8" w:space="0" w:color="auto"/>
              <w:bottom w:val="single" w:sz="8" w:space="0" w:color="auto"/>
              <w:right w:val="single" w:sz="8" w:space="0" w:color="auto"/>
              <w:tl2br w:val="nil"/>
              <w:tr2bl w:val="nil"/>
            </w:tcBorders>
            <w:shd w:val="clear" w:color="auto" w:fill="auto"/>
            <w:vAlign w:val="center"/>
          </w:tcPr>
          <w:p/>
        </w:tc>
        <w:tc>
          <w:tcPr>
            <w:tcW w:w="936" w:type="dxa"/>
            <w:vMerge/>
            <w:tcBorders>
              <w:top w:val="nil"/>
              <w:left w:val="nil"/>
              <w:bottom w:val="single" w:sz="8" w:space="0" w:color="auto"/>
              <w:right w:val="single" w:sz="8" w:space="0" w:color="auto"/>
              <w:tl2br w:val="nil"/>
              <w:tr2bl w:val="nil"/>
            </w:tcBorders>
            <w:shd w:val="clear" w:color="auto" w:fill="auto"/>
            <w:vAlign w:val="center"/>
          </w:tcPr>
          <w:p/>
        </w:tc>
        <w:tc>
          <w:tcPr>
            <w:tcW w:w="2670" w:type="dxa"/>
            <w:tcBorders>
              <w:top w:val="nil"/>
              <w:left w:val="single" w:sz="8" w:space="0" w:color="auto"/>
              <w:bottom w:val="single" w:sz="8" w:space="0" w:color="auto"/>
              <w:right w:val="single" w:sz="8" w:space="0" w:color="auto"/>
              <w:tl2br w:val="nil"/>
              <w:tr2bl w:val="nil"/>
            </w:tcBorders>
            <w:shd w:val="clear" w:color="auto" w:fill="auto"/>
          </w:tcPr>
          <w:p>
            <w:pPr>
              <w:pStyle w:val="55"/>
              <w:widowControl/>
              <w:spacing w:line="560" w:lineRule="exact"/>
              <w:rPr>
                <w:rFonts w:eastAsia="方正仿宋_GBK" w:cs="楷体" w:hint="eastAsia"/>
                <w:kern w:val="0"/>
                <w:sz w:val="24"/>
                <w:szCs w:val="24"/>
                <w:lang w:bidi="ar-SA"/>
              </w:rPr>
            </w:pPr>
            <w:r>
              <w:rPr>
                <w:rFonts w:eastAsia="方正仿宋_GBK" w:cs="楷体" w:hint="eastAsia"/>
                <w:kern w:val="0"/>
                <w:sz w:val="24"/>
                <w:szCs w:val="24"/>
                <w:lang w:bidi="ar-SA"/>
              </w:rPr>
              <w:t>2.申请人逾期未按收费通知要求缴纳费用、行政机关不再处理其政府信息公开申请</w:t>
            </w:r>
          </w:p>
        </w:tc>
        <w:tc>
          <w:tcPr>
            <w:tcW w:w="635" w:type="dxa"/>
            <w:tcBorders>
              <w:top w:val="nil"/>
              <w:left w:val="nil"/>
              <w:bottom w:val="single" w:sz="8" w:space="0" w:color="auto"/>
              <w:right w:val="single" w:sz="8" w:space="0" w:color="auto"/>
              <w:tl2br w:val="nil"/>
              <w:tr2bl w:val="nil"/>
            </w:tcBorders>
            <w:shd w:val="clear" w:color="auto" w:fill="auto"/>
            <w:vAlign w:val="center"/>
          </w:tcPr>
          <w:p>
            <w:pPr>
              <w:pStyle w:val="61"/>
              <w:spacing w:line="560" w:lineRule="exact"/>
              <w:jc w:val="center"/>
              <w:rPr>
                <w:rFonts w:hint="eastAsia"/>
              </w:rPr>
            </w:pPr>
            <w:r>
              <w:rPr>
                <w:rFonts w:hint="eastAsia"/>
                <w:sz w:val="24"/>
                <w:szCs w:val="24"/>
              </w:rPr>
              <w:t>0</w:t>
            </w:r>
          </w:p>
        </w:tc>
        <w:tc>
          <w:tcPr>
            <w:tcW w:w="675" w:type="dxa"/>
            <w:tcBorders>
              <w:top w:val="nil"/>
              <w:left w:val="nil"/>
              <w:bottom w:val="single" w:sz="8" w:space="0" w:color="auto"/>
              <w:right w:val="single" w:sz="8" w:space="0" w:color="auto"/>
              <w:tl2br w:val="nil"/>
              <w:tr2bl w:val="nil"/>
            </w:tcBorders>
            <w:shd w:val="clear" w:color="auto" w:fill="auto"/>
            <w:vAlign w:val="center"/>
          </w:tcPr>
          <w:p>
            <w:pPr>
              <w:pStyle w:val="61"/>
              <w:spacing w:line="560" w:lineRule="exact"/>
              <w:jc w:val="center"/>
              <w:rPr>
                <w:rFonts w:hint="eastAsia"/>
              </w:rPr>
            </w:pPr>
            <w:r>
              <w:rPr>
                <w:rFonts w:hint="eastAsia"/>
                <w:sz w:val="24"/>
                <w:szCs w:val="24"/>
              </w:rPr>
              <w:t>0</w:t>
            </w:r>
          </w:p>
        </w:tc>
        <w:tc>
          <w:tcPr>
            <w:tcW w:w="750" w:type="dxa"/>
            <w:tcBorders>
              <w:top w:val="nil"/>
              <w:left w:val="nil"/>
              <w:bottom w:val="single" w:sz="8" w:space="0" w:color="auto"/>
              <w:right w:val="single" w:sz="8" w:space="0" w:color="auto"/>
              <w:tl2br w:val="nil"/>
              <w:tr2bl w:val="nil"/>
            </w:tcBorders>
            <w:shd w:val="clear" w:color="auto" w:fill="auto"/>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61"/>
              <w:spacing w:line="560" w:lineRule="exact"/>
              <w:jc w:val="center"/>
              <w:rPr>
                <w:rFonts w:hint="eastAsia"/>
              </w:rPr>
            </w:pPr>
            <w:r>
              <w:rPr>
                <w:rFonts w:hint="eastAsia"/>
                <w:sz w:val="24"/>
                <w:szCs w:val="24"/>
              </w:rPr>
              <w:t>0</w:t>
            </w:r>
          </w:p>
        </w:tc>
        <w:tc>
          <w:tcPr>
            <w:tcW w:w="497" w:type="dxa"/>
            <w:tcBorders>
              <w:top w:val="nil"/>
              <w:left w:val="nil"/>
              <w:bottom w:val="single" w:sz="8" w:space="0" w:color="auto"/>
              <w:right w:val="single" w:sz="8" w:space="0" w:color="auto"/>
              <w:tl2br w:val="nil"/>
              <w:tr2bl w:val="nil"/>
            </w:tcBorders>
            <w:shd w:val="clear" w:color="auto" w:fill="auto"/>
            <w:vAlign w:val="center"/>
          </w:tcPr>
          <w:p>
            <w:pPr>
              <w:pStyle w:val="61"/>
              <w:spacing w:line="560" w:lineRule="exact"/>
              <w:jc w:val="center"/>
              <w:rPr>
                <w:rFonts w:hint="eastAsia"/>
              </w:rPr>
            </w:pPr>
            <w:r>
              <w:rPr>
                <w:rFonts w:hint="eastAsia"/>
                <w:sz w:val="24"/>
                <w:szCs w:val="24"/>
              </w:rPr>
              <w:t>0</w:t>
            </w:r>
          </w:p>
        </w:tc>
        <w:tc>
          <w:tcPr>
            <w:tcW w:w="682" w:type="dxa"/>
            <w:tcBorders>
              <w:top w:val="nil"/>
              <w:left w:val="nil"/>
              <w:bottom w:val="single" w:sz="8" w:space="0" w:color="auto"/>
              <w:right w:val="single" w:sz="8" w:space="0" w:color="auto"/>
              <w:tl2br w:val="nil"/>
              <w:tr2bl w:val="nil"/>
            </w:tcBorders>
            <w:shd w:val="clear" w:color="auto" w:fill="auto"/>
            <w:vAlign w:val="center"/>
          </w:tcPr>
          <w:p>
            <w:pPr>
              <w:pStyle w:val="61"/>
              <w:spacing w:line="560" w:lineRule="exact"/>
              <w:jc w:val="center"/>
              <w:rPr>
                <w:rFonts w:hint="eastAsia"/>
              </w:rPr>
            </w:pPr>
            <w:r>
              <w:rPr>
                <w:rFonts w:hint="eastAsia"/>
                <w:sz w:val="24"/>
                <w:szCs w:val="24"/>
              </w:rPr>
              <w:t>0</w:t>
            </w:r>
          </w:p>
        </w:tc>
      </w:tr>
      <w:tr>
        <w:trPr>
          <w:trHeight w:val="567"/>
        </w:trPr>
        <w:tc>
          <w:tcPr>
            <w:tcW w:w="696" w:type="dxa"/>
            <w:vMerge/>
            <w:tcBorders>
              <w:top w:val="nil"/>
              <w:left w:val="single" w:sz="8" w:space="0" w:color="auto"/>
              <w:bottom w:val="single" w:sz="8" w:space="0" w:color="auto"/>
              <w:right w:val="single" w:sz="8" w:space="0" w:color="auto"/>
              <w:tl2br w:val="nil"/>
              <w:tr2bl w:val="nil"/>
            </w:tcBorders>
            <w:shd w:val="clear" w:color="auto" w:fill="auto"/>
            <w:vAlign w:val="center"/>
          </w:tcPr>
          <w:p/>
        </w:tc>
        <w:tc>
          <w:tcPr>
            <w:tcW w:w="936" w:type="dxa"/>
            <w:vMerge/>
            <w:tcBorders>
              <w:top w:val="nil"/>
              <w:left w:val="nil"/>
              <w:bottom w:val="single" w:sz="8" w:space="0" w:color="auto"/>
              <w:right w:val="single" w:sz="8" w:space="0" w:color="auto"/>
              <w:tl2br w:val="nil"/>
              <w:tr2bl w:val="nil"/>
            </w:tcBorders>
            <w:shd w:val="clear" w:color="auto" w:fill="auto"/>
            <w:vAlign w:val="center"/>
          </w:tcPr>
          <w:p/>
        </w:tc>
        <w:tc>
          <w:tcPr>
            <w:tcW w:w="2670" w:type="dxa"/>
            <w:tcBorders>
              <w:top w:val="nil"/>
              <w:left w:val="single" w:sz="8" w:space="0" w:color="auto"/>
              <w:bottom w:val="single" w:sz="8" w:space="0" w:color="auto"/>
              <w:right w:val="single" w:sz="8" w:space="0" w:color="auto"/>
              <w:tl2br w:val="nil"/>
              <w:tr2bl w:val="nil"/>
            </w:tcBorders>
            <w:shd w:val="clear" w:color="auto" w:fill="auto"/>
          </w:tcPr>
          <w:p>
            <w:pPr>
              <w:pStyle w:val="55"/>
              <w:widowControl/>
              <w:spacing w:line="560" w:lineRule="exact"/>
              <w:rPr>
                <w:rFonts w:eastAsia="方正仿宋_GBK" w:cs="楷体" w:hint="eastAsia"/>
                <w:kern w:val="0"/>
                <w:sz w:val="24"/>
                <w:szCs w:val="24"/>
                <w:lang w:bidi="ar-SA"/>
              </w:rPr>
            </w:pPr>
            <w:r>
              <w:rPr>
                <w:rFonts w:eastAsia="方正仿宋_GBK" w:cs="楷体" w:hint="eastAsia"/>
                <w:kern w:val="0"/>
                <w:sz w:val="24"/>
                <w:szCs w:val="24"/>
                <w:lang w:bidi="ar-SA"/>
              </w:rPr>
              <w:t>3.咨询事项，指引咨询渠道</w:t>
            </w:r>
          </w:p>
        </w:tc>
        <w:tc>
          <w:tcPr>
            <w:tcW w:w="635" w:type="dxa"/>
            <w:tcBorders>
              <w:top w:val="nil"/>
              <w:left w:val="nil"/>
              <w:bottom w:val="single" w:sz="8" w:space="0" w:color="auto"/>
              <w:right w:val="single" w:sz="8" w:space="0" w:color="auto"/>
              <w:tl2br w:val="nil"/>
              <w:tr2bl w:val="nil"/>
            </w:tcBorders>
            <w:shd w:val="clear" w:color="auto" w:fill="auto"/>
            <w:vAlign w:val="center"/>
          </w:tcPr>
          <w:p>
            <w:pPr>
              <w:pStyle w:val="61"/>
              <w:spacing w:line="560" w:lineRule="exact"/>
              <w:jc w:val="center"/>
              <w:rPr>
                <w:rFonts w:hint="eastAsia"/>
              </w:rPr>
            </w:pPr>
            <w:r>
              <w:rPr>
                <w:rFonts w:hint="eastAsia"/>
                <w:sz w:val="24"/>
                <w:szCs w:val="24"/>
              </w:rPr>
              <w:t>1</w:t>
            </w:r>
          </w:p>
        </w:tc>
        <w:tc>
          <w:tcPr>
            <w:tcW w:w="675" w:type="dxa"/>
            <w:tcBorders>
              <w:top w:val="nil"/>
              <w:left w:val="nil"/>
              <w:bottom w:val="single" w:sz="8" w:space="0" w:color="auto"/>
              <w:right w:val="single" w:sz="8" w:space="0" w:color="auto"/>
              <w:tl2br w:val="nil"/>
              <w:tr2bl w:val="nil"/>
            </w:tcBorders>
            <w:shd w:val="clear" w:color="auto" w:fill="auto"/>
            <w:vAlign w:val="center"/>
          </w:tcPr>
          <w:p>
            <w:pPr>
              <w:pStyle w:val="61"/>
              <w:spacing w:line="560" w:lineRule="exact"/>
              <w:jc w:val="center"/>
              <w:rPr>
                <w:rFonts w:hint="eastAsia"/>
              </w:rPr>
            </w:pPr>
            <w:r>
              <w:rPr>
                <w:rFonts w:hint="eastAsia"/>
                <w:sz w:val="24"/>
                <w:szCs w:val="24"/>
              </w:rPr>
              <w:t>0</w:t>
            </w:r>
          </w:p>
        </w:tc>
        <w:tc>
          <w:tcPr>
            <w:tcW w:w="750" w:type="dxa"/>
            <w:tcBorders>
              <w:top w:val="nil"/>
              <w:left w:val="nil"/>
              <w:bottom w:val="single" w:sz="8" w:space="0" w:color="auto"/>
              <w:right w:val="single" w:sz="8" w:space="0" w:color="auto"/>
              <w:tl2br w:val="nil"/>
              <w:tr2bl w:val="nil"/>
            </w:tcBorders>
            <w:shd w:val="clear" w:color="auto" w:fill="auto"/>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61"/>
              <w:spacing w:line="560" w:lineRule="exact"/>
              <w:jc w:val="center"/>
              <w:rPr>
                <w:rFonts w:hint="eastAsia"/>
              </w:rPr>
            </w:pPr>
            <w:r>
              <w:rPr>
                <w:rFonts w:hint="eastAsia"/>
                <w:sz w:val="24"/>
                <w:szCs w:val="24"/>
              </w:rPr>
              <w:t>0</w:t>
            </w:r>
          </w:p>
        </w:tc>
        <w:tc>
          <w:tcPr>
            <w:tcW w:w="497" w:type="dxa"/>
            <w:tcBorders>
              <w:top w:val="nil"/>
              <w:left w:val="nil"/>
              <w:bottom w:val="single" w:sz="8" w:space="0" w:color="auto"/>
              <w:right w:val="single" w:sz="8" w:space="0" w:color="auto"/>
              <w:tl2br w:val="nil"/>
              <w:tr2bl w:val="nil"/>
            </w:tcBorders>
            <w:shd w:val="clear" w:color="auto" w:fill="auto"/>
            <w:vAlign w:val="center"/>
          </w:tcPr>
          <w:p>
            <w:pPr>
              <w:pStyle w:val="61"/>
              <w:spacing w:line="560" w:lineRule="exact"/>
              <w:jc w:val="center"/>
              <w:rPr>
                <w:rFonts w:hint="eastAsia"/>
              </w:rPr>
            </w:pPr>
            <w:r>
              <w:rPr>
                <w:rFonts w:hint="eastAsia"/>
                <w:sz w:val="24"/>
                <w:szCs w:val="24"/>
              </w:rPr>
              <w:t>0</w:t>
            </w:r>
          </w:p>
        </w:tc>
        <w:tc>
          <w:tcPr>
            <w:tcW w:w="682" w:type="dxa"/>
            <w:tcBorders>
              <w:top w:val="nil"/>
              <w:left w:val="nil"/>
              <w:bottom w:val="single" w:sz="8" w:space="0" w:color="auto"/>
              <w:right w:val="single" w:sz="8" w:space="0" w:color="auto"/>
              <w:tl2br w:val="nil"/>
              <w:tr2bl w:val="nil"/>
            </w:tcBorders>
            <w:shd w:val="clear" w:color="auto" w:fill="auto"/>
            <w:vAlign w:val="center"/>
          </w:tcPr>
          <w:p>
            <w:pPr>
              <w:pStyle w:val="61"/>
              <w:spacing w:line="560" w:lineRule="exact"/>
              <w:jc w:val="center"/>
              <w:rPr>
                <w:rFonts w:hint="eastAsia"/>
              </w:rPr>
            </w:pPr>
            <w:r>
              <w:rPr>
                <w:rFonts w:hint="eastAsia"/>
                <w:sz w:val="24"/>
                <w:szCs w:val="24"/>
              </w:rPr>
              <w:t>1</w:t>
            </w:r>
          </w:p>
        </w:tc>
      </w:tr>
      <w:tr>
        <w:trPr>
          <w:trHeight w:val="567"/>
        </w:trPr>
        <w:tc>
          <w:tcPr>
            <w:tcW w:w="696" w:type="dxa"/>
            <w:vMerge/>
            <w:tcBorders>
              <w:top w:val="nil"/>
              <w:left w:val="single" w:sz="8" w:space="0" w:color="auto"/>
              <w:bottom w:val="single" w:sz="8" w:space="0" w:color="auto"/>
              <w:right w:val="single" w:sz="8" w:space="0" w:color="auto"/>
              <w:tl2br w:val="nil"/>
              <w:tr2bl w:val="nil"/>
            </w:tcBorders>
            <w:shd w:val="clear" w:color="auto" w:fill="auto"/>
            <w:vAlign w:val="center"/>
          </w:tcPr>
          <w:p/>
        </w:tc>
        <w:tc>
          <w:tcPr>
            <w:tcW w:w="936" w:type="dxa"/>
            <w:vMerge/>
            <w:tcBorders>
              <w:top w:val="nil"/>
              <w:left w:val="nil"/>
              <w:bottom w:val="single" w:sz="8" w:space="0" w:color="auto"/>
              <w:right w:val="single" w:sz="8" w:space="0" w:color="auto"/>
              <w:tl2br w:val="nil"/>
              <w:tr2bl w:val="nil"/>
            </w:tcBorders>
            <w:shd w:val="clear" w:color="auto" w:fill="auto"/>
            <w:vAlign w:val="center"/>
          </w:tcPr>
          <w:p/>
        </w:tc>
        <w:tc>
          <w:tcPr>
            <w:tcW w:w="2670" w:type="dxa"/>
            <w:tcBorders>
              <w:top w:val="nil"/>
              <w:left w:val="single" w:sz="8" w:space="0" w:color="auto"/>
              <w:bottom w:val="single" w:sz="8" w:space="0" w:color="auto"/>
              <w:right w:val="single" w:sz="8" w:space="0" w:color="auto"/>
              <w:tl2br w:val="nil"/>
              <w:tr2bl w:val="nil"/>
            </w:tcBorders>
            <w:shd w:val="clear" w:color="auto" w:fill="auto"/>
          </w:tcPr>
          <w:p>
            <w:pPr>
              <w:pStyle w:val="55"/>
              <w:widowControl/>
              <w:spacing w:line="560" w:lineRule="exact"/>
              <w:rPr>
                <w:rFonts w:eastAsia="方正仿宋_GBK" w:cs="楷体" w:hint="eastAsia"/>
                <w:kern w:val="0"/>
                <w:sz w:val="24"/>
                <w:szCs w:val="24"/>
                <w:lang w:bidi="ar-SA"/>
              </w:rPr>
            </w:pPr>
            <w:r>
              <w:rPr>
                <w:rFonts w:eastAsia="方正仿宋_GBK" w:cs="楷体" w:hint="eastAsia"/>
                <w:kern w:val="0"/>
                <w:sz w:val="24"/>
                <w:szCs w:val="24"/>
                <w:lang w:bidi="ar-SA"/>
              </w:rPr>
              <w:t>4.申请人撤销申请</w:t>
            </w:r>
          </w:p>
        </w:tc>
        <w:tc>
          <w:tcPr>
            <w:tcW w:w="635" w:type="dxa"/>
            <w:tcBorders>
              <w:top w:val="nil"/>
              <w:left w:val="nil"/>
              <w:bottom w:val="single" w:sz="8" w:space="0" w:color="auto"/>
              <w:right w:val="single" w:sz="8" w:space="0" w:color="auto"/>
              <w:tl2br w:val="nil"/>
              <w:tr2bl w:val="nil"/>
            </w:tcBorders>
            <w:shd w:val="clear" w:color="auto" w:fill="auto"/>
            <w:vAlign w:val="center"/>
          </w:tcPr>
          <w:p>
            <w:pPr>
              <w:pStyle w:val="61"/>
              <w:spacing w:line="560" w:lineRule="exact"/>
              <w:jc w:val="center"/>
              <w:rPr>
                <w:rFonts w:hint="eastAsia"/>
              </w:rPr>
            </w:pPr>
            <w:r>
              <w:rPr>
                <w:rFonts w:hint="eastAsia"/>
                <w:sz w:val="24"/>
                <w:szCs w:val="24"/>
              </w:rPr>
              <w:t>5</w:t>
            </w:r>
          </w:p>
        </w:tc>
        <w:tc>
          <w:tcPr>
            <w:tcW w:w="675" w:type="dxa"/>
            <w:tcBorders>
              <w:top w:val="nil"/>
              <w:left w:val="nil"/>
              <w:bottom w:val="single" w:sz="8" w:space="0" w:color="auto"/>
              <w:right w:val="single" w:sz="8" w:space="0" w:color="auto"/>
              <w:tl2br w:val="nil"/>
              <w:tr2bl w:val="nil"/>
            </w:tcBorders>
            <w:shd w:val="clear" w:color="auto" w:fill="auto"/>
            <w:vAlign w:val="center"/>
          </w:tcPr>
          <w:p>
            <w:pPr>
              <w:pStyle w:val="61"/>
              <w:spacing w:line="560" w:lineRule="exact"/>
              <w:jc w:val="center"/>
              <w:rPr>
                <w:rFonts w:hint="eastAsia"/>
              </w:rPr>
            </w:pPr>
            <w:r>
              <w:rPr>
                <w:rFonts w:hint="eastAsia"/>
                <w:sz w:val="24"/>
                <w:szCs w:val="24"/>
              </w:rPr>
              <w:t>0</w:t>
            </w:r>
          </w:p>
        </w:tc>
        <w:tc>
          <w:tcPr>
            <w:tcW w:w="750" w:type="dxa"/>
            <w:tcBorders>
              <w:top w:val="nil"/>
              <w:left w:val="nil"/>
              <w:bottom w:val="single" w:sz="8" w:space="0" w:color="auto"/>
              <w:right w:val="single" w:sz="8" w:space="0" w:color="auto"/>
              <w:tl2br w:val="nil"/>
              <w:tr2bl w:val="nil"/>
            </w:tcBorders>
            <w:shd w:val="clear" w:color="auto" w:fill="auto"/>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61"/>
              <w:spacing w:line="560" w:lineRule="exact"/>
              <w:jc w:val="center"/>
              <w:rPr>
                <w:rFonts w:hint="eastAsia"/>
              </w:rPr>
            </w:pPr>
            <w:r>
              <w:rPr>
                <w:rFonts w:hint="eastAsia"/>
                <w:sz w:val="24"/>
                <w:szCs w:val="24"/>
              </w:rPr>
              <w:t>0</w:t>
            </w:r>
          </w:p>
        </w:tc>
        <w:tc>
          <w:tcPr>
            <w:tcW w:w="497" w:type="dxa"/>
            <w:tcBorders>
              <w:top w:val="nil"/>
              <w:left w:val="nil"/>
              <w:bottom w:val="single" w:sz="8" w:space="0" w:color="auto"/>
              <w:right w:val="single" w:sz="8" w:space="0" w:color="auto"/>
              <w:tl2br w:val="nil"/>
              <w:tr2bl w:val="nil"/>
            </w:tcBorders>
            <w:shd w:val="clear" w:color="auto" w:fill="auto"/>
            <w:vAlign w:val="center"/>
          </w:tcPr>
          <w:p>
            <w:pPr>
              <w:pStyle w:val="61"/>
              <w:spacing w:line="560" w:lineRule="exact"/>
              <w:jc w:val="center"/>
              <w:rPr>
                <w:rFonts w:hint="eastAsia"/>
              </w:rPr>
            </w:pPr>
            <w:r>
              <w:rPr>
                <w:rFonts w:hint="eastAsia"/>
                <w:sz w:val="24"/>
                <w:szCs w:val="24"/>
              </w:rPr>
              <w:t>0</w:t>
            </w:r>
          </w:p>
        </w:tc>
        <w:tc>
          <w:tcPr>
            <w:tcW w:w="682" w:type="dxa"/>
            <w:tcBorders>
              <w:top w:val="nil"/>
              <w:left w:val="nil"/>
              <w:bottom w:val="single" w:sz="8" w:space="0" w:color="auto"/>
              <w:right w:val="single" w:sz="8" w:space="0" w:color="auto"/>
              <w:tl2br w:val="nil"/>
              <w:tr2bl w:val="nil"/>
            </w:tcBorders>
            <w:shd w:val="clear" w:color="auto" w:fill="auto"/>
            <w:vAlign w:val="center"/>
          </w:tcPr>
          <w:p>
            <w:pPr>
              <w:pStyle w:val="61"/>
              <w:spacing w:line="560" w:lineRule="exact"/>
              <w:jc w:val="center"/>
              <w:rPr>
                <w:rFonts w:hint="eastAsia"/>
              </w:rPr>
            </w:pPr>
            <w:r>
              <w:rPr>
                <w:rFonts w:hint="eastAsia"/>
                <w:sz w:val="24"/>
                <w:szCs w:val="24"/>
              </w:rPr>
              <w:t>5</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3606" w:type="dxa"/>
            <w:gridSpan w:val="2"/>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rPr>
                <w:rFonts w:eastAsia="方正仿宋_GBK" w:hint="eastAsia"/>
                <w:color w:val="auto"/>
                <w:sz w:val="24"/>
                <w:szCs w:val="24"/>
              </w:rPr>
            </w:pPr>
            <w:r>
              <w:rPr>
                <w:rFonts w:eastAsia="方正仿宋_GBK" w:cs="楷体" w:hint="eastAsia"/>
                <w:color w:val="auto"/>
                <w:kern w:val="0"/>
                <w:sz w:val="24"/>
                <w:szCs w:val="24"/>
                <w:lang w:bidi="ar-SA"/>
              </w:rPr>
              <w:t>（七）总计</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10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10</w:t>
            </w:r>
          </w:p>
        </w:tc>
      </w:tr>
      <w:tr>
        <w:tc>
          <w:tcPr>
            <w:tcW w:w="4302" w:type="dxa"/>
            <w:gridSpan w:val="3"/>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left"/>
              <w:rPr>
                <w:rFonts w:eastAsia="方正仿宋_GBK" w:hint="eastAsia"/>
                <w:color w:val="auto"/>
              </w:rPr>
            </w:pPr>
            <w:r>
              <w:rPr>
                <w:rFonts w:eastAsia="方正仿宋_GBK" w:cs="宋体" w:hint="eastAsia"/>
                <w:color w:val="auto"/>
                <w:kern w:val="0"/>
                <w:sz w:val="24"/>
                <w:szCs w:val="24"/>
                <w:lang w:bidi="ar-SA"/>
              </w:rPr>
              <w:t>四、结转下年度继续办理</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r>
    </w:tbl>
    <w:p>
      <w:pPr>
        <w:pStyle w:val="69"/>
        <w:ind w:firstLineChars="200" w:firstLine="632"/>
        <w:jc w:val="left"/>
        <w:rPr>
          <w:rFonts w:eastAsia="方正仿宋_GBK" w:cs="宋体" w:hint="eastAsia"/>
          <w:color w:val="auto"/>
          <w:szCs w:val="24"/>
          <w:lang w:bidi="ar-SA"/>
        </w:rPr>
      </w:pPr>
      <w:r>
        <w:rPr>
          <w:rFonts w:eastAsia="方正黑体_GBK" w:cs="楷体_GB2312"/>
          <w:bCs/>
          <w:kern w:val="0"/>
          <w:bdr w:val="none" w:sz="0" w:space="0" w:color="auto"/>
        </w:rPr>
        <w:t>四</w:t>
      </w:r>
      <w:r>
        <w:rPr>
          <w:rFonts w:eastAsia="方正黑体_GBK" w:cs="楷体_GB2312" w:hint="eastAsia"/>
          <w:bCs/>
          <w:kern w:val="0"/>
          <w:bdr w:val="none" w:sz="0" w:space="0" w:color="auto"/>
        </w:rPr>
        <w:t>、政府信息公开行政复议、行政诉讼情况</w:t>
      </w:r>
    </w:p>
    <w:tbl>
      <w:tblPr>
        <w:jc w:val="center"/>
        <w:tblW w:w="9071"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c>
          <w:tcPr>
            <w:tcW w:w="3074" w:type="dxa"/>
            <w:gridSpan w:val="5"/>
            <w:tcBorders>
              <w:top w:val="single" w:sz="8" w:space="0" w:color="auto"/>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center"/>
              <w:rPr>
                <w:rFonts w:eastAsia="方正仿宋_GBK" w:hint="eastAsia"/>
                <w:color w:val="auto"/>
                <w:sz w:val="24"/>
                <w:szCs w:val="24"/>
              </w:rPr>
            </w:pPr>
            <w:r>
              <w:rPr>
                <w:rFonts w:eastAsia="方正仿宋_GBK" w:cs="宋体" w:hint="eastAsia"/>
                <w:color w:val="auto"/>
                <w:kern w:val="0"/>
                <w:sz w:val="24"/>
                <w:szCs w:val="24"/>
                <w:lang w:bidi="ar-SA"/>
              </w:rPr>
              <w:t>行政复议</w:t>
            </w:r>
          </w:p>
        </w:tc>
        <w:tc>
          <w:tcPr>
            <w:tcW w:w="5997" w:type="dxa"/>
            <w:gridSpan w:val="10"/>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center"/>
              <w:rPr>
                <w:rFonts w:eastAsia="方正仿宋_GBK" w:hint="eastAsia"/>
                <w:color w:val="auto"/>
                <w:sz w:val="24"/>
                <w:szCs w:val="24"/>
              </w:rPr>
            </w:pPr>
            <w:r>
              <w:rPr>
                <w:rFonts w:eastAsia="方正仿宋_GBK" w:cs="宋体" w:hint="eastAsia"/>
                <w:color w:val="auto"/>
                <w:kern w:val="0"/>
                <w:sz w:val="24"/>
                <w:szCs w:val="24"/>
                <w:lang w:bidi="ar-SA"/>
              </w:rPr>
              <w:t>行政诉讼</w:t>
            </w:r>
          </w:p>
        </w:tc>
      </w:tr>
      <w:tr>
        <w:tc>
          <w:tcPr>
            <w:tcW w:w="604" w:type="dxa"/>
            <w:vMerge w:val="restart"/>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center"/>
              <w:rPr>
                <w:rFonts w:eastAsia="方正仿宋_GBK" w:hint="eastAsia"/>
                <w:color w:val="auto"/>
                <w:sz w:val="24"/>
                <w:szCs w:val="24"/>
              </w:rPr>
            </w:pPr>
            <w:r>
              <w:rPr>
                <w:rFonts w:eastAsia="方正仿宋_GBK" w:cs="宋体" w:hint="eastAsia"/>
                <w:color w:val="auto"/>
                <w:kern w:val="0"/>
                <w:sz w:val="24"/>
                <w:szCs w:val="24"/>
                <w:lang w:bidi="ar-SA"/>
              </w:rPr>
              <w:t>结果维持</w:t>
            </w:r>
          </w:p>
        </w:tc>
        <w:tc>
          <w:tcPr>
            <w:tcW w:w="604"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center"/>
              <w:rPr>
                <w:rFonts w:eastAsia="方正仿宋_GBK" w:hint="eastAsia"/>
                <w:color w:val="auto"/>
                <w:sz w:val="24"/>
                <w:szCs w:val="24"/>
              </w:rPr>
            </w:pPr>
            <w:r>
              <w:rPr>
                <w:rFonts w:eastAsia="方正仿宋_GBK" w:cs="宋体" w:hint="eastAsia"/>
                <w:color w:val="auto"/>
                <w:kern w:val="0"/>
                <w:sz w:val="24"/>
                <w:szCs w:val="24"/>
                <w:lang w:bidi="ar-SA"/>
              </w:rPr>
              <w:t>结果纠正</w:t>
            </w:r>
          </w:p>
        </w:tc>
        <w:tc>
          <w:tcPr>
            <w:tcW w:w="604" w:type="dxa"/>
            <w:vMerge w:val="restart"/>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center"/>
              <w:rPr>
                <w:rFonts w:eastAsia="方正仿宋_GBK" w:hint="eastAsia"/>
                <w:color w:val="auto"/>
                <w:sz w:val="24"/>
                <w:szCs w:val="24"/>
              </w:rPr>
            </w:pPr>
            <w:r>
              <w:rPr>
                <w:rFonts w:eastAsia="方正仿宋_GBK" w:cs="宋体" w:hint="eastAsia"/>
                <w:color w:val="auto"/>
                <w:kern w:val="0"/>
                <w:sz w:val="24"/>
                <w:szCs w:val="24"/>
                <w:lang w:bidi="ar-SA"/>
              </w:rPr>
              <w:t>其他结果</w:t>
            </w:r>
          </w:p>
        </w:tc>
        <w:tc>
          <w:tcPr>
            <w:tcW w:w="604" w:type="dxa"/>
            <w:vMerge w:val="restart"/>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center"/>
              <w:rPr>
                <w:rFonts w:eastAsia="方正仿宋_GBK" w:hint="eastAsia"/>
                <w:color w:val="auto"/>
                <w:sz w:val="24"/>
                <w:szCs w:val="24"/>
              </w:rPr>
            </w:pPr>
            <w:r>
              <w:rPr>
                <w:rFonts w:eastAsia="方正仿宋_GBK" w:cs="宋体" w:hint="eastAsia"/>
                <w:color w:val="auto"/>
                <w:kern w:val="0"/>
                <w:sz w:val="24"/>
                <w:szCs w:val="24"/>
                <w:lang w:bidi="ar-SA"/>
              </w:rPr>
              <w:t>尚未审结</w:t>
            </w:r>
          </w:p>
        </w:tc>
        <w:tc>
          <w:tcPr>
            <w:tcW w:w="658" w:type="dxa"/>
            <w:vMerge w:val="restart"/>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center"/>
              <w:rPr>
                <w:rFonts w:eastAsia="方正仿宋_GBK" w:hint="eastAsia"/>
                <w:color w:val="auto"/>
                <w:sz w:val="24"/>
                <w:szCs w:val="24"/>
              </w:rPr>
            </w:pPr>
            <w:r>
              <w:rPr>
                <w:rFonts w:eastAsia="方正仿宋_GBK" w:cs="宋体" w:hint="eastAsia"/>
                <w:color w:val="auto"/>
                <w:kern w:val="0"/>
                <w:sz w:val="24"/>
                <w:szCs w:val="24"/>
                <w:lang w:bidi="ar-SA"/>
              </w:rPr>
              <w:t>总计</w:t>
            </w:r>
          </w:p>
        </w:tc>
        <w:tc>
          <w:tcPr>
            <w:tcW w:w="2970" w:type="dxa"/>
            <w:gridSpan w:val="5"/>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center"/>
              <w:rPr>
                <w:rFonts w:eastAsia="方正仿宋_GBK" w:hint="eastAsia"/>
                <w:color w:val="auto"/>
                <w:sz w:val="24"/>
                <w:szCs w:val="24"/>
              </w:rPr>
            </w:pPr>
            <w:r>
              <w:rPr>
                <w:rFonts w:eastAsia="方正仿宋_GBK" w:cs="宋体" w:hint="eastAsia"/>
                <w:color w:val="auto"/>
                <w:kern w:val="0"/>
                <w:sz w:val="24"/>
                <w:szCs w:val="24"/>
                <w:lang w:bidi="ar-SA"/>
              </w:rPr>
              <w:t>未经复议直接起诉</w:t>
            </w:r>
          </w:p>
        </w:tc>
        <w:tc>
          <w:tcPr>
            <w:tcW w:w="3027" w:type="dxa"/>
            <w:gridSpan w:val="5"/>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center"/>
              <w:rPr>
                <w:rFonts w:eastAsia="方正仿宋_GBK" w:hint="eastAsia"/>
                <w:color w:val="auto"/>
                <w:sz w:val="24"/>
                <w:szCs w:val="24"/>
              </w:rPr>
            </w:pPr>
            <w:r>
              <w:rPr>
                <w:rFonts w:eastAsia="方正仿宋_GBK" w:cs="宋体" w:hint="eastAsia"/>
                <w:color w:val="auto"/>
                <w:kern w:val="0"/>
                <w:sz w:val="24"/>
                <w:szCs w:val="24"/>
                <w:lang w:bidi="ar-SA"/>
              </w:rPr>
              <w:t>复议后起诉</w:t>
            </w:r>
          </w:p>
        </w:tc>
      </w:tr>
      <w:tr>
        <w:tc>
          <w:tcPr>
            <w:tcW w:w="604"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604"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658" w:type="dxa"/>
            <w:vMerge/>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5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center"/>
              <w:rPr>
                <w:rFonts w:eastAsia="方正仿宋_GBK" w:hint="eastAsia"/>
                <w:color w:val="auto"/>
                <w:sz w:val="24"/>
                <w:szCs w:val="24"/>
              </w:rPr>
            </w:pPr>
            <w:r>
              <w:rPr>
                <w:rFonts w:eastAsia="方正仿宋_GBK" w:cs="宋体" w:hint="eastAsia"/>
                <w:color w:val="auto"/>
                <w:kern w:val="0"/>
                <w:sz w:val="24"/>
                <w:szCs w:val="24"/>
                <w:lang w:bidi="ar-SA"/>
              </w:rPr>
              <w:t>结果维持</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center"/>
              <w:rPr>
                <w:rFonts w:eastAsia="方正仿宋_GBK" w:hint="eastAsia"/>
                <w:color w:val="auto"/>
                <w:sz w:val="24"/>
                <w:szCs w:val="24"/>
              </w:rPr>
            </w:pPr>
            <w:r>
              <w:rPr>
                <w:rFonts w:eastAsia="方正仿宋_GBK" w:cs="宋体" w:hint="eastAsia"/>
                <w:color w:val="auto"/>
                <w:kern w:val="0"/>
                <w:sz w:val="24"/>
                <w:szCs w:val="24"/>
                <w:lang w:bidi="ar-SA"/>
              </w:rPr>
              <w:t>结果纠正</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center"/>
              <w:rPr>
                <w:rFonts w:eastAsia="方正仿宋_GBK" w:hint="eastAsia"/>
                <w:color w:val="auto"/>
                <w:sz w:val="24"/>
                <w:szCs w:val="24"/>
              </w:rPr>
            </w:pPr>
            <w:r>
              <w:rPr>
                <w:rFonts w:eastAsia="方正仿宋_GBK" w:cs="宋体" w:hint="eastAsia"/>
                <w:color w:val="auto"/>
                <w:kern w:val="0"/>
                <w:sz w:val="24"/>
                <w:szCs w:val="24"/>
                <w:lang w:bidi="ar-SA"/>
              </w:rPr>
              <w:t>其他结果</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center"/>
              <w:rPr>
                <w:rFonts w:eastAsia="方正仿宋_GBK" w:hint="eastAsia"/>
                <w:color w:val="auto"/>
                <w:sz w:val="24"/>
                <w:szCs w:val="24"/>
              </w:rPr>
            </w:pPr>
            <w:r>
              <w:rPr>
                <w:rFonts w:eastAsia="方正仿宋_GBK" w:cs="宋体" w:hint="eastAsia"/>
                <w:color w:val="auto"/>
                <w:kern w:val="0"/>
                <w:sz w:val="24"/>
                <w:szCs w:val="24"/>
                <w:lang w:bidi="ar-SA"/>
              </w:rPr>
              <w:t>尚未审结</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center"/>
              <w:rPr>
                <w:rFonts w:eastAsia="方正仿宋_GBK" w:hint="eastAsia"/>
                <w:color w:val="auto"/>
                <w:sz w:val="24"/>
                <w:szCs w:val="24"/>
              </w:rPr>
            </w:pPr>
            <w:r>
              <w:rPr>
                <w:rFonts w:eastAsia="方正仿宋_GBK" w:cs="宋体" w:hint="eastAsia"/>
                <w:color w:val="auto"/>
                <w:kern w:val="0"/>
                <w:sz w:val="24"/>
                <w:szCs w:val="24"/>
                <w:lang w:bidi="ar-SA"/>
              </w:rPr>
              <w:t>总计</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center"/>
              <w:rPr>
                <w:rFonts w:eastAsia="方正仿宋_GBK" w:hint="eastAsia"/>
                <w:color w:val="auto"/>
                <w:sz w:val="24"/>
                <w:szCs w:val="24"/>
              </w:rPr>
            </w:pPr>
            <w:r>
              <w:rPr>
                <w:rFonts w:eastAsia="方正仿宋_GBK" w:cs="宋体" w:hint="eastAsia"/>
                <w:color w:val="auto"/>
                <w:kern w:val="0"/>
                <w:sz w:val="24"/>
                <w:szCs w:val="24"/>
                <w:lang w:bidi="ar-SA"/>
              </w:rPr>
              <w:t>结果维持</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center"/>
              <w:rPr>
                <w:rFonts w:eastAsia="方正仿宋_GBK" w:hint="eastAsia"/>
                <w:color w:val="auto"/>
                <w:sz w:val="24"/>
                <w:szCs w:val="24"/>
              </w:rPr>
            </w:pPr>
            <w:r>
              <w:rPr>
                <w:rFonts w:eastAsia="方正仿宋_GBK" w:cs="宋体" w:hint="eastAsia"/>
                <w:color w:val="auto"/>
                <w:kern w:val="0"/>
                <w:sz w:val="24"/>
                <w:szCs w:val="24"/>
                <w:lang w:bidi="ar-SA"/>
              </w:rPr>
              <w:t>结果纠正</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center"/>
              <w:rPr>
                <w:rFonts w:eastAsia="方正仿宋_GBK" w:hint="eastAsia"/>
                <w:color w:val="auto"/>
                <w:sz w:val="24"/>
                <w:szCs w:val="24"/>
              </w:rPr>
            </w:pPr>
            <w:r>
              <w:rPr>
                <w:rFonts w:eastAsia="方正仿宋_GBK" w:cs="宋体" w:hint="eastAsia"/>
                <w:color w:val="auto"/>
                <w:kern w:val="0"/>
                <w:sz w:val="24"/>
                <w:szCs w:val="24"/>
                <w:lang w:bidi="ar-SA"/>
              </w:rPr>
              <w:t>其他结果</w:t>
            </w:r>
          </w:p>
        </w:tc>
        <w:tc>
          <w:tcPr>
            <w:tcW w:w="606"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center"/>
              <w:rPr>
                <w:rFonts w:eastAsia="方正仿宋_GBK" w:hint="eastAsia"/>
                <w:color w:val="auto"/>
                <w:sz w:val="24"/>
                <w:szCs w:val="24"/>
              </w:rPr>
            </w:pPr>
            <w:r>
              <w:rPr>
                <w:rFonts w:eastAsia="方正仿宋_GBK" w:cs="宋体" w:hint="eastAsia"/>
                <w:color w:val="auto"/>
                <w:kern w:val="0"/>
                <w:sz w:val="24"/>
                <w:szCs w:val="24"/>
                <w:lang w:bidi="ar-SA"/>
              </w:rPr>
              <w:t>尚未审结</w:t>
            </w:r>
          </w:p>
        </w:tc>
        <w:tc>
          <w:tcPr>
            <w:tcW w:w="606"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widowControl/>
              <w:spacing w:line="560" w:lineRule="exact"/>
              <w:jc w:val="center"/>
              <w:rPr>
                <w:rFonts w:eastAsia="方正仿宋_GBK" w:hint="eastAsia"/>
                <w:color w:val="auto"/>
                <w:sz w:val="24"/>
                <w:szCs w:val="24"/>
              </w:rPr>
            </w:pPr>
            <w:r>
              <w:rPr>
                <w:rFonts w:eastAsia="方正仿宋_GBK" w:cs="宋体" w:hint="eastAsia"/>
                <w:color w:val="auto"/>
                <w:kern w:val="0"/>
                <w:sz w:val="24"/>
                <w:szCs w:val="24"/>
                <w:lang w:bidi="ar-SA"/>
              </w:rPr>
              <w:t>总计</w:t>
            </w:r>
          </w:p>
        </w:tc>
      </w:tr>
      <w:tr>
        <w:trPr>
          <w:trHeight w:val="862"/>
        </w:trPr>
        <w:tc>
          <w:tcPr>
            <w:tcW w:w="604"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0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0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0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58"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5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06"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c>
          <w:tcPr>
            <w:tcW w:w="606"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spacing w:line="560" w:lineRule="exact"/>
              <w:jc w:val="center"/>
              <w:rPr>
                <w:rFonts w:hint="eastAsia"/>
              </w:rPr>
            </w:pPr>
            <w:r>
              <w:rPr>
                <w:rFonts w:hint="eastAsia"/>
                <w:sz w:val="24"/>
                <w:szCs w:val="24"/>
              </w:rPr>
              <w:t>0</w:t>
            </w:r>
          </w:p>
        </w:tc>
      </w:tr>
    </w:tbl>
    <w:p>
      <w:pPr>
        <w:spacing w:line="560" w:lineRule="exact"/>
        <w:ind w:firstLineChars="200" w:firstLine="632"/>
        <w:rPr>
          <w:rFonts w:eastAsia="方正黑体_GBK" w:hint="eastAsia"/>
        </w:rPr>
      </w:pPr>
      <w:r>
        <w:rPr>
          <w:rFonts w:eastAsia="方正黑体_GBK"/>
        </w:rPr>
        <w:t>五</w:t>
      </w:r>
      <w:r>
        <w:rPr>
          <w:rFonts w:eastAsia="方正黑体_GBK" w:hint="eastAsia"/>
        </w:rPr>
        <w:t>、存在的主要问题及改进情况</w:t>
      </w:r>
    </w:p>
    <w:p>
      <w:pPr>
        <w:spacing w:line="560" w:lineRule="exact"/>
        <w:ind w:firstLineChars="200" w:firstLine="632"/>
        <w:rPr>
          <w:rFonts w:eastAsia="方正楷体_GBK" w:hint="eastAsia"/>
        </w:rPr>
      </w:pPr>
      <w:r>
        <w:rPr>
          <w:rFonts w:eastAsia="方正楷体_GBK" w:hint="eastAsia"/>
        </w:rPr>
        <w:t>（一）2022年年报中所提问题整改情况。</w:t>
      </w:r>
    </w:p>
    <w:p>
      <w:pPr>
        <w:pStyle w:val="75"/>
        <w:spacing w:line="560" w:lineRule="exact"/>
        <w:ind w:firstLineChars="200" w:firstLine="632"/>
        <w:rPr>
          <w:rFonts w:hint="eastAsia"/>
        </w:rPr>
      </w:pPr>
      <w:r>
        <w:rPr>
          <w:rFonts w:hint="eastAsia"/>
        </w:rPr>
        <w:t>存在问题：政务公开平台仍需进一步加强，公开渠道和信息内容发布规范性还需提高。关区政务公开工作人员的能力和水平还有待提升。隶属海关政务公开规范化标准化建设工作力度还需加强。</w:t>
      </w:r>
    </w:p>
    <w:p>
      <w:pPr>
        <w:pStyle w:val="76"/>
        <w:spacing w:line="560" w:lineRule="exact"/>
        <w:ind w:firstLineChars="200" w:firstLine="632"/>
        <w:rPr>
          <w:rFonts w:hint="eastAsia"/>
        </w:rPr>
      </w:pPr>
      <w:r>
        <w:rPr>
          <w:rFonts w:hint="eastAsia"/>
        </w:rPr>
        <w:t>改进措施：一是加强网站栏目和政务公开专区内容建设，扩大公开渠道。隶属海关在报关大厅和业务现场设立标识清楚的政务公开专区，全面准确公开政策法规、服务事项、办事指南、业务流程、岗位职责，业务咨询、举报投诉监督电话等，方便企业群众办事、咨询和对海关工作的监督。信息发布严格落实三级审核责任，防止泄密事件的发生。二是通过关区政务公开标准化规范化建设工作业务培训班和开展集中工作的形式，加强业务培训，提升工作人员的能力和水平。三是开展督促检查和情况通报。通过到隶属海关查看政务公开专区、查阅工作资料、开展座谈交流等方式，全面了解隶属海关政务公开标准化规范化建设各节点工作开展情况，指出存在问题，提出改进建议。</w:t>
      </w:r>
    </w:p>
    <w:p>
      <w:pPr>
        <w:pStyle w:val="76"/>
        <w:spacing w:line="560" w:lineRule="exact"/>
        <w:ind w:firstLineChars="200" w:firstLine="632"/>
        <w:rPr>
          <w:rFonts w:eastAsia="方正楷体_GBK" w:hint="eastAsia"/>
        </w:rPr>
      </w:pPr>
      <w:r>
        <w:rPr>
          <w:rFonts w:eastAsia="方正楷体_GBK" w:hint="eastAsia"/>
        </w:rPr>
        <w:t>（二）目前存在的问题。</w:t>
      </w:r>
    </w:p>
    <w:p>
      <w:pPr>
        <w:pStyle w:val="76"/>
        <w:spacing w:line="560" w:lineRule="exact"/>
        <w:ind w:firstLineChars="200" w:firstLine="632"/>
        <w:rPr>
          <w:rFonts w:hint="eastAsia"/>
        </w:rPr>
      </w:pPr>
      <w:r>
        <w:rPr>
          <w:rFonts w:hint="eastAsia"/>
        </w:rPr>
        <w:t>隶属海关政务公开标准化规范化建设工作虽然都已达标，但建设水平层次不齐，工作质量还需提升。行政执法信息发布内容和范围还需拓展，信息公开的及时性、内容质量以及工作人员的业务能力还需进一步提升。</w:t>
      </w:r>
    </w:p>
    <w:p>
      <w:pPr>
        <w:pStyle w:val="76"/>
        <w:spacing w:line="560" w:lineRule="exact"/>
        <w:ind w:firstLineChars="200" w:firstLine="632"/>
        <w:rPr>
          <w:rFonts w:eastAsia="方正黑体_GBK" w:hint="eastAsia"/>
        </w:rPr>
      </w:pPr>
      <w:r>
        <w:rPr>
          <w:rFonts w:eastAsia="方正黑体_GBK"/>
        </w:rPr>
        <w:t>六</w:t>
      </w:r>
      <w:r>
        <w:rPr>
          <w:rFonts w:eastAsia="方正黑体_GBK" w:hint="eastAsia"/>
        </w:rPr>
        <w:t>、其他需要报告的事项</w:t>
      </w:r>
    </w:p>
    <w:p>
      <w:pPr>
        <w:pStyle w:val="76"/>
        <w:spacing w:line="560" w:lineRule="exact"/>
        <w:ind w:firstLineChars="200" w:firstLine="632"/>
        <w:rPr>
          <w:rFonts w:hint="eastAsia"/>
        </w:rPr>
      </w:pPr>
      <w:r>
        <w:t>合肥海关关区2023年无收取信息处理费情况</w:t>
      </w:r>
      <w:bookmarkStart w:id="0" w:name="_GoBack"/>
      <w:bookmarkEnd w:id="0"/>
      <w:r>
        <w:rPr>
          <w:rFonts w:hint="eastAsia"/>
        </w:rPr>
        <w:t>。</w:t>
      </w:r>
    </w:p>
    <w:p>
      <w:pPr>
        <w:spacing w:line="560" w:lineRule="exact"/>
        <w:jc w:val="left"/>
        <w:rPr>
          <w:rFonts w:ascii="方正仿宋_GBK" w:hint="eastAsia"/>
        </w:rPr>
      </w:pPr>
    </w:p>
    <w:sectPr>
      <w:footerReference w:type="default" r:id="rId2"/>
      <w:pgSz w:w="11907" w:h="16840"/>
      <w:pgMar w:top="1985" w:right="1474" w:bottom="1871" w:left="1588" w:header="1814" w:footer="1474" w:gutter="0"/>
      <w:pgNumType w:start="0"/>
      <w:titlePg/>
      <w:docGrid w:type="linesAndChars" w:linePitch="580" w:charSpace="-840"/>
    </w:sectPr>
  </w:body>
</w:document>
</file>

<file path=word/fontTable.xml><?xml version="1.0" encoding="utf-8"?>
<w:fonts xmlns:w="http://schemas.openxmlformats.org/wordprocessingml/2006/main" xmlns:r="http://schemas.openxmlformats.org/officeDocument/2006/relationships">
  <w:font w:name="方正小标宋_GBK">
    <w:altName w:val="Arial Unicode MS"/>
    <w:panose1 w:val="03000509000000000000"/>
    <w:charset w:val="86"/>
    <w:family w:val="script"/>
    <w:pitch w:val="variable"/>
    <w:sig w:usb0="00000001" w:usb1="080E0000" w:usb2="00000000" w:usb3="00000000" w:csb0="00040000" w:csb1="00000000"/>
  </w:font>
  <w:font w:name="方正仿宋_GBK">
    <w:altName w:val="Arial Unicode MS"/>
    <w:panose1 w:val="03000509000000000000"/>
    <w:charset w:val="86"/>
    <w:family w:val="script"/>
    <w:pitch w:val="variable"/>
    <w:sig w:usb0="00000001" w:usb1="080E0000" w:usb2="00000000" w:usb3="00000000" w:csb0="00040000" w:csb1="00000000"/>
  </w:font>
  <w:font w:name="方正黑体_GBK">
    <w:altName w:val="Arial Unicode MS"/>
    <w:panose1 w:val="03000509000000000000"/>
    <w:charset w:val="86"/>
    <w:family w:val="script"/>
    <w:pitch w:val="variable"/>
    <w:sig w:usb0="00000001" w:usb1="080E0000" w:usb2="00000000" w:usb3="00000000" w:csb0="00040000" w:csb1="00000000"/>
  </w:font>
  <w:font w:name="方正楷体_GBK">
    <w:altName w:val="Arial Unicode MS"/>
    <w:panose1 w:val="03000509000000000000"/>
    <w:charset w:val="86"/>
    <w:family w:val="script"/>
    <w:pitch w:val="variable"/>
    <w:sig w:usb0="00000001" w:usb1="080E0000" w:usb2="00000000" w:usb3="00000000" w:csb0="00040000" w:csb1="00000000"/>
  </w:font>
  <w:font w:name="楷体_GB2312">
    <w:altName w:val="楷体"/>
    <w:panose1 w:val="00000000000000000000"/>
    <w:charset w:val="00"/>
    <w:family w:val="auto"/>
    <w:pitch w:val="variable"/>
    <w:sig w:usb0="00000000" w:usb1="00000000" w:usb2="00000000" w:usb3="00000000" w:csb0="00000000" w:csb1="00000000"/>
  </w:font>
  <w:font w:name="宋体">
    <w:panose1 w:val="02010600030101010101"/>
    <w:charset w:val="86"/>
    <w:family w:val="auto"/>
    <w:pitch w:val="variable"/>
    <w:sig w:usb0="00000003" w:usb1="080E0000" w:usb2="00000000" w:usb3="00000000" w:csb0="00040001" w:csb1="00000000"/>
  </w:font>
  <w:font w:name="楷体">
    <w:panose1 w:val="02010609060101010101"/>
    <w:charset w:val="86"/>
    <w:family w:val="auto"/>
    <w:pitch w:val="variable"/>
    <w:sig w:usb0="800002BF" w:usb1="38CF7CFA" w:usb2="00000016" w:usb3="00000000" w:csb0="00040001" w:csb1="00000000"/>
  </w:font>
  <w:font w:name="Times New Roman">
    <w:panose1 w:val="02020603050405020304"/>
    <w:charset w:val="00"/>
    <w:family w:val="auto"/>
    <w:pitch w:val="variable"/>
    <w:sig w:usb0="00000A87" w:usb1="00000000" w:usb2="00000000" w:usb3="00000000" w:csb0="400001BF" w:csb1="DFF70000"/>
  </w:font>
  <w:font w:name="Arial">
    <w:panose1 w:val="020B0604020202020204"/>
    <w:charset w:val="00"/>
    <w:family w:val="auto"/>
    <w:pitch w:val="variable"/>
    <w:sig w:usb0="00007A87" w:usb1="80000000" w:usb2="00000008" w:usb3="00000000" w:csb0="400001FF" w:csb1="FFFF0000"/>
  </w:font>
  <w:font w:name="黑体">
    <w:panose1 w:val="02010600030101010101"/>
    <w:charset w:val="86"/>
    <w:family w:val="auto"/>
    <w:pitch w:val="variable"/>
    <w:sig w:usb0="00000001" w:usb1="080E0000" w:usb2="00000000" w:usb3="00000000" w:csb0="00040000" w:csb1="00000000"/>
  </w:font>
  <w:font w:name="Wingdings">
    <w:panose1 w:val="05000000000000000000"/>
    <w:charset w:val="02"/>
    <w:family w:val="auto"/>
    <w:pitch w:val="variable"/>
    <w:sig w:usb0="00000000" w:usb1="00000000" w:usb2="00000000" w:usb3="00000000" w:csb0="8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8"/>
      <w:tabs>
        <w:tab w:val="center" w:pos="4153"/>
        <w:tab w:val="right" w:pos="8307"/>
      </w:tabs>
      <w:jc w:val="center"/>
      <w:rPr>
        <w:sz w:val="32"/>
        <w:szCs w:val="32"/>
      </w:rPr>
    </w:pPr>
    <w:r>
      <w:rPr>
        <w:sz w:val="32"/>
        <w:szCs w:val="32"/>
      </w:rPr>
      <w:fldChar w:fldCharType="begin"/>
    </w:r>
    <w:r>
      <w:rPr>
        <w:sz w:val="32"/>
        <w:szCs w:val="32"/>
      </w:rPr>
      <w:instrText>Page</w:instrText>
    </w:r>
    <w:r>
      <w:rPr>
        <w:sz w:val="32"/>
        <w:szCs w:val="32"/>
      </w:rPr>
      <w:fldChar w:fldCharType="separate"/>
    </w:r>
    <w:r>
      <w:rPr>
        <w:sz w:val="32"/>
        <w:szCs w:val="32"/>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C00E1105"/>
    <w:multiLevelType w:val="singleLevel"/>
    <w:tmpl w:val="00000000"/>
    <w:lvl w:ilvl="0">
      <w:start w:val="1"/>
      <w:numFmt w:val="bullet"/>
      <w:lvlRestart w:val="0"/>
      <w:lvlText w:val=""/>
      <w:lvlJc w:val="left"/>
      <w:pPr>
        <w:tabs>
          <w:tab w:val="num" w:pos="1620"/>
        </w:tabs>
        <w:ind w:left="1620" w:hanging="360"/>
      </w:pPr>
      <w:rPr>
        <w:rFonts w:ascii="Wingdings" w:hAnsi="Wingdings" w:hint="default"/>
      </w:rPr>
    </w:lvl>
  </w:abstractNum>
  <w:abstractNum w:abstractNumId="1">
    <w:nsid w:val="15AF9B0D"/>
    <w:multiLevelType w:val="singleLevel"/>
    <w:tmpl w:val="00000000"/>
    <w:lvl w:ilvl="0">
      <w:start w:val="1"/>
      <w:numFmt w:val="decimal"/>
      <w:lvlRestart w:val="0"/>
      <w:lvlText w:val="%1."/>
      <w:lvlJc w:val="left"/>
      <w:pPr>
        <w:tabs>
          <w:tab w:val="num" w:pos="1200"/>
        </w:tabs>
        <w:ind w:left="1200" w:hanging="360"/>
      </w:p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40"/>
  <w:doNotDisplayPageBoundaries/>
  <w:displayBackgroundShape/>
  <w:bordersDoNotSurroundHeader/>
  <w:bordersDoNotSurroundFooter/>
  <w:trackRevisions/>
  <w:defaultTabStop w:val="420"/>
  <w:evenAndOddHeaders/>
  <w:drawingGridHorizontalSpacing w:val="157"/>
  <w:drawingGridVerticalSpacing w:val="289"/>
  <w:displayHorizontalDrawingGridEvery w:val="2"/>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pacing w:line="240" w:lineRule="auto"/>
      <w:jc w:val="both"/>
    </w:pPr>
    <w:rPr>
      <w:rFonts w:ascii="Times New Roman" w:eastAsia="方正仿宋_GBK" w:cs="Times New Roman" w:hAnsi="Times New Roman"/>
      <w:kern w:val="2"/>
      <w:sz w:val="32"/>
      <w:lang w:val="en-US" w:eastAsia="zh-CN" w:bidi="ar-SA"/>
    </w:rPr>
  </w:style>
  <w:style w:type="paragraph" w:styleId="1">
    <w:name w:val="heading 1"/>
    <w:basedOn w:val="0"/>
    <w:next w:val="0"/>
    <w:pPr>
      <w:keepNext/>
      <w:keepLines/>
      <w:widowControl w:val="0"/>
      <w:spacing w:before="340" w:after="330" w:line="578" w:lineRule="auto"/>
      <w:outlineLvl w:val="0"/>
    </w:pPr>
    <w:rPr>
      <w:b/>
      <w:kern w:val="44"/>
      <w:sz w:val="44"/>
    </w:rPr>
  </w:style>
  <w:style w:type="paragraph" w:styleId="2">
    <w:name w:val="heading 2"/>
    <w:basedOn w:val="0"/>
    <w:next w:val="0"/>
    <w:pPr>
      <w:keepNext/>
      <w:keepLines/>
      <w:widowControl w:val="0"/>
      <w:spacing w:before="260" w:after="260" w:line="415" w:lineRule="auto"/>
      <w:outlineLvl w:val="1"/>
    </w:pPr>
    <w:rPr>
      <w:rFonts w:ascii="Arial" w:eastAsia="黑体" w:hAnsi="Arial"/>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index 6"/>
    <w:basedOn w:val="0"/>
    <w:autoRedefine/>
    <w:next w:val="0"/>
    <w:pPr>
      <w:ind w:left="2100"/>
    </w:pPr>
  </w:style>
  <w:style w:type="paragraph" w:styleId="16">
    <w:name w:val="header"/>
    <w:basedOn w:val="0"/>
    <w:pPr>
      <w:pBdr>
        <w:bottom w:val="single" w:sz="6" w:space="1" w:color="auto"/>
      </w:pBdr>
      <w:tabs>
        <w:tab w:val="center" w:pos="4153"/>
        <w:tab w:val="right" w:pos="8307"/>
      </w:tabs>
      <w:snapToGrid w:val="0"/>
      <w:jc w:val="center"/>
    </w:pPr>
    <w:rPr>
      <w:sz w:val="18"/>
    </w:rPr>
  </w:style>
  <w:style w:type="paragraph" w:styleId="17">
    <w:name w:val="footer"/>
    <w:basedOn w:val="0"/>
    <w:pPr>
      <w:tabs>
        <w:tab w:val="center" w:pos="4153"/>
        <w:tab w:val="right" w:pos="8307"/>
      </w:tabs>
      <w:snapToGrid w:val="0"/>
      <w:jc w:val="left"/>
    </w:pPr>
    <w:rPr>
      <w:sz w:val="18"/>
    </w:rPr>
  </w:style>
  <w:style w:type="paragraph" w:customStyle="1" w:styleId="18">
    <w:name w:val="样式 小五"/>
    <w:pPr>
      <w:widowControl w:val="0"/>
      <w:tabs>
        <w:tab w:val="center" w:pos="4153"/>
        <w:tab w:val="right" w:pos="8307"/>
      </w:tabs>
      <w:snapToGrid w:val="0"/>
      <w:spacing w:line="240" w:lineRule="auto"/>
      <w:jc w:val="left"/>
    </w:pPr>
    <w:rPr>
      <w:rFonts w:ascii="Times New Roman" w:eastAsia="方正仿宋_GBK" w:cs="Times New Roman" w:hAnsi="Times New Roman"/>
      <w:kern w:val="2"/>
      <w:sz w:val="18"/>
      <w:lang w:val="en-US" w:eastAsia="zh-CN" w:bidi="ar-SA"/>
    </w:rPr>
  </w:style>
  <w:style w:type="paragraph" w:styleId="19">
    <w:name w:val="index 5"/>
    <w:basedOn w:val="0"/>
    <w:autoRedefine/>
    <w:next w:val="0"/>
    <w:pPr>
      <w:ind w:left="1680"/>
    </w:pPr>
  </w:style>
  <w:style w:type="paragraph" w:styleId="20">
    <w:name w:val="toc 4"/>
    <w:basedOn w:val="0"/>
    <w:autoRedefine/>
    <w:next w:val="0"/>
    <w:pPr>
      <w:ind w:left="1260"/>
    </w:pPr>
  </w:style>
  <w:style w:type="paragraph" w:styleId="21">
    <w:name w:val="toc 8"/>
    <w:basedOn w:val="0"/>
    <w:autoRedefine/>
    <w:next w:val="0"/>
    <w:pPr>
      <w:ind w:left="2940"/>
    </w:pPr>
  </w:style>
  <w:style w:type="paragraph" w:styleId="22">
    <w:name w:val="List Bullet 4"/>
    <w:basedOn w:val="0"/>
    <w:pPr>
      <w:numPr>
        <w:ilvl w:val="0"/>
        <w:numId w:val="1"/>
      </w:numPr>
    </w:pPr>
  </w:style>
  <w:style w:type="paragraph" w:styleId="23">
    <w:name w:val="List Number 3"/>
    <w:basedOn w:val="0"/>
    <w:pPr>
      <w:numPr>
        <w:ilvl w:val="0"/>
        <w:numId w:val="2"/>
      </w:numPr>
    </w:pPr>
  </w:style>
  <w:style w:type="paragraph" w:styleId="24">
    <w:name w:val="List Continue"/>
    <w:basedOn w:val="0"/>
    <w:pPr>
      <w:spacing w:after="120"/>
      <w:ind w:left="420"/>
    </w:pPr>
  </w:style>
  <w:style w:type="paragraph" w:styleId="25">
    <w:name w:val="List Continue 2"/>
    <w:basedOn w:val="0"/>
    <w:pPr>
      <w:spacing w:after="120"/>
      <w:ind w:left="840"/>
    </w:pPr>
  </w:style>
  <w:style w:type="paragraph" w:styleId="26">
    <w:name w:val="Normal (Web)"/>
    <w:next w:val="16"/>
    <w:pPr>
      <w:widowControl w:val="0"/>
      <w:spacing w:beforeAutospacing="1" w:afterAutospacing="1"/>
      <w:jc w:val="left"/>
    </w:pPr>
    <w:rPr>
      <w:rFonts w:ascii="Times New Roman" w:eastAsia="宋体" w:cs="Times New Roman" w:hAnsi="Times New Roman"/>
      <w:kern w:val="0"/>
      <w:sz w:val="24"/>
      <w:szCs w:val="30"/>
      <w:lang w:val="en-US" w:eastAsia="zh-CN" w:bidi="ar-SA"/>
    </w:rPr>
  </w:style>
  <w:style w:type="paragraph" w:customStyle="1" w:styleId="27">
    <w:name w:val="样式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28">
    <w:name w:val="样式 1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29">
    <w:name w:val="样式 2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30">
    <w:name w:val="样式 4 三号"/>
    <w:next w:val="16"/>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31">
    <w:name w:val="样式 3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32">
    <w:name w:val="样式 5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33">
    <w:name w:val="样式 6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34">
    <w:name w:val="样式 7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35">
    <w:name w:val="样式 8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36">
    <w:name w:val="样式 9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37">
    <w:name w:val="样式 10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38">
    <w:name w:val="样式 11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39">
    <w:name w:val="样式 12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40">
    <w:name w:val="样式 13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41">
    <w:name w:val="样式 14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42">
    <w:name w:val="样式 15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43">
    <w:name w:val="样式 16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44">
    <w:name w:val="样式 17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45">
    <w:name w:val="样式 18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46">
    <w:name w:val="样式 19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47">
    <w:name w:val="样式 20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48">
    <w:name w:val="样式 21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49">
    <w:name w:val="样式 22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50">
    <w:name w:val="样式 23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51">
    <w:name w:val="样式 24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52">
    <w:name w:val="样式 25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53">
    <w:name w:val="样式 26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54">
    <w:name w:val="样式 50 三号"/>
    <w:next w:val="20"/>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customStyle="1" w:styleId="55">
    <w:name w:val="样式 小三"/>
    <w:next w:val="21"/>
    <w:pPr>
      <w:widowControl w:val="0"/>
      <w:jc w:val="both"/>
    </w:pPr>
    <w:rPr>
      <w:rFonts w:ascii="Times New Roman" w:eastAsia="宋体" w:cs="Times New Roman" w:hAnsi="Times New Roman"/>
      <w:kern w:val="2"/>
      <w:sz w:val="30"/>
      <w:szCs w:val="30"/>
      <w:lang w:val="en-US" w:eastAsia="zh-CN" w:bidi="ar-SA"/>
    </w:rPr>
  </w:style>
  <w:style w:type="paragraph" w:customStyle="1" w:styleId="56">
    <w:name w:val="样式 27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57">
    <w:name w:val="样式 5 小三"/>
    <w:next w:val="22"/>
    <w:pPr>
      <w:widowControl w:val="0"/>
      <w:jc w:val="both"/>
    </w:pPr>
    <w:rPr>
      <w:rFonts w:ascii="Times New Roman" w:eastAsia="宋体" w:cs="Times New Roman" w:hAnsi="Times New Roman"/>
      <w:kern w:val="2"/>
      <w:sz w:val="30"/>
      <w:szCs w:val="30"/>
      <w:lang w:val="en-US" w:eastAsia="zh-CN" w:bidi="ar-SA"/>
    </w:rPr>
  </w:style>
  <w:style w:type="paragraph" w:customStyle="1" w:styleId="58">
    <w:name w:val="样式 16 小三"/>
    <w:next w:val="24"/>
    <w:pPr>
      <w:widowControl w:val="0"/>
      <w:jc w:val="both"/>
    </w:pPr>
    <w:rPr>
      <w:rFonts w:ascii="Times New Roman" w:eastAsia="宋体" w:cs="Times New Roman" w:hAnsi="Times New Roman"/>
      <w:kern w:val="2"/>
      <w:sz w:val="30"/>
      <w:szCs w:val="30"/>
      <w:lang w:val="en-US" w:eastAsia="zh-CN" w:bidi="ar-SA"/>
    </w:rPr>
  </w:style>
  <w:style w:type="paragraph" w:customStyle="1" w:styleId="59">
    <w:name w:val="样式 8 小三"/>
    <w:next w:val="23"/>
    <w:pPr>
      <w:widowControl w:val="0"/>
      <w:jc w:val="both"/>
    </w:pPr>
    <w:rPr>
      <w:rFonts w:ascii="Times New Roman" w:eastAsia="宋体" w:cs="Times New Roman" w:hAnsi="Times New Roman"/>
      <w:kern w:val="2"/>
      <w:sz w:val="30"/>
      <w:szCs w:val="30"/>
      <w:lang w:val="en-US" w:eastAsia="zh-CN" w:bidi="ar-SA"/>
    </w:rPr>
  </w:style>
  <w:style w:type="paragraph" w:customStyle="1" w:styleId="60">
    <w:name w:val="样式 17 小三"/>
    <w:next w:val="25"/>
    <w:pPr>
      <w:widowControl w:val="0"/>
      <w:jc w:val="both"/>
    </w:pPr>
    <w:rPr>
      <w:rFonts w:ascii="Times New Roman" w:eastAsia="宋体" w:cs="Times New Roman" w:hAnsi="Times New Roman"/>
      <w:kern w:val="2"/>
      <w:sz w:val="30"/>
      <w:szCs w:val="30"/>
      <w:lang w:val="en-US" w:eastAsia="zh-CN" w:bidi="ar-SA"/>
    </w:rPr>
  </w:style>
  <w:style w:type="paragraph" w:customStyle="1" w:styleId="61">
    <w:name w:val="样式 28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62">
    <w:name w:val="样式 29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63">
    <w:name w:val="样式 30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64">
    <w:name w:val="样式 31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65">
    <w:name w:val="样式 32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66">
    <w:name w:val="样式 33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67">
    <w:name w:val="样式 34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68">
    <w:name w:val="样式 35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69">
    <w:name w:val="样式 36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70">
    <w:name w:val="样式 37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71">
    <w:name w:val="样式 38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72">
    <w:name w:val="样式 39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73">
    <w:name w:val="样式 40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74">
    <w:name w:val="样式 41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75">
    <w:name w:val="样式 42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76">
    <w:name w:val="样式 43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77">
    <w:name w:val="样式 44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78">
    <w:name w:val="样式 45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79">
    <w:name w:val="样式 46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80">
    <w:name w:val="样式 47 三号"/>
    <w:pPr>
      <w:widowControl w:val="0"/>
      <w:spacing w:line="240" w:lineRule="auto"/>
      <w:jc w:val="both"/>
    </w:pPr>
    <w:rPr>
      <w:rFonts w:ascii="Times New Roman" w:eastAsia="方正仿宋_GBK" w:cs="Times New Roman" w:hAnsi="Times New Roman"/>
      <w:kern w:val="2"/>
      <w:sz w:val="3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723</TotalTime>
  <Application>Yozo_Office</Application>
  <Pages>7</Pages>
  <Words>2402</Words>
  <Characters>2491</Characters>
  <Lines>425</Lines>
  <Paragraphs>306</Paragraphs>
  <CharactersWithSpaces>2491</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杨凯</dc:creator>
  <cp:lastModifiedBy>杨凯</cp:lastModifiedBy>
  <cp:revision>1</cp:revision>
  <dcterms:created xsi:type="dcterms:W3CDTF">2024-01-31T01:42:34Z</dcterms:created>
  <dcterms:modified xsi:type="dcterms:W3CDTF">2025-05-13T07:06:39Z</dcterms:modified>
</cp:coreProperties>
</file>