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3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合肥海关关区2024年政府信息公开</w:t>
      </w:r>
    </w:p>
    <w:p>
      <w:pPr>
        <w:pStyle w:val="30"/>
        <w:spacing w:line="560" w:lineRule="exact"/>
        <w:jc w:val="center"/>
        <w:rPr>
          <w:rFonts w:ascii="方正小标宋_GBK" w:eastAsia="方正小标宋_GBK" w:hint="eastAsia"/>
          <w:sz w:val="44"/>
          <w:szCs w:val="44"/>
        </w:rPr>
      </w:pPr>
      <w:r>
        <w:rPr>
          <w:rFonts w:ascii="方正小标宋_GBK" w:eastAsia="方正小标宋_GBK" w:hint="eastAsia"/>
          <w:sz w:val="44"/>
          <w:szCs w:val="44"/>
        </w:rPr>
        <w:t>工作年度报告</w:t>
      </w:r>
    </w:p>
    <w:p>
      <w:pPr>
        <w:pStyle w:val="30"/>
        <w:spacing w:line="560" w:lineRule="exact"/>
        <w:jc w:val="center"/>
        <w:rPr>
          <w:rFonts w:ascii="仿宋_GB2312" w:eastAsia="仿宋_GB2312" w:hint="eastAsia"/>
          <w:sz w:val="44"/>
          <w:szCs w:val="44"/>
        </w:rPr>
      </w:pPr>
    </w:p>
    <w:p>
      <w:pPr>
        <w:pStyle w:val="30"/>
        <w:spacing w:line="580" w:lineRule="exact"/>
        <w:ind w:firstLineChars="200" w:firstLine="632"/>
      </w:pPr>
      <w:r>
        <w:t>本报告根据《中华人民共和国政府信息公开条例》《国务院办公厅政府信息与政务公开办公室关于印发〈中华人民共和国政府信息公开工作年度报告格式〉的通知》要求，梳理2024年度合肥海关关区政府信息公开工作情况编制而成。报告数据的统计期限，自</w:t>
      </w:r>
      <w:r>
        <w:rPr>
          <w:szCs w:val="28"/>
        </w:rPr>
        <w:t>2024年1月1日起至2024年12月31日</w:t>
      </w:r>
      <w:r>
        <w:t>止。如对报告</w:t>
      </w:r>
      <w:r>
        <w:rPr>
          <w:spacing w:val="-6"/>
          <w:kern w:val="0"/>
        </w:rPr>
        <w:t>有意见、建议，请联系合肥海关办公室</w:t>
      </w:r>
      <w:r>
        <w:rPr>
          <w:spacing w:val="-4"/>
          <w:kern w:val="0"/>
        </w:rPr>
        <w:t>（电话</w:t>
      </w:r>
      <w:r>
        <w:rPr>
          <w:kern w:val="0"/>
        </w:rPr>
        <w:t>：</w:t>
      </w:r>
      <w:r>
        <w:rPr>
          <w:kern w:val="0"/>
          <w:szCs w:val="28"/>
        </w:rPr>
        <w:t>0551-63549631</w:t>
      </w:r>
      <w:r>
        <w:t>；电子邮箱：</w:t>
      </w:r>
      <w:r>
        <w:rPr>
          <w:szCs w:val="28"/>
        </w:rPr>
        <w:t>hfhg_zwgk@customs.gov.cn</w:t>
      </w:r>
      <w:r>
        <w:t>）。</w:t>
      </w:r>
    </w:p>
    <w:p>
      <w:pPr>
        <w:pStyle w:val="31"/>
        <w:spacing w:line="580" w:lineRule="exact"/>
        <w:ind w:firstLineChars="200" w:firstLine="632"/>
        <w:rPr>
          <w:rFonts w:ascii="方正黑体_GBK" w:eastAsia="方正黑体_GBK" w:hint="eastAsia"/>
        </w:rPr>
      </w:pPr>
      <w:r>
        <w:rPr>
          <w:rFonts w:ascii="方正黑体_GBK" w:eastAsia="方正黑体_GBK" w:hint="eastAsia"/>
        </w:rPr>
        <w:t>一、总体情况</w:t>
      </w:r>
    </w:p>
    <w:p>
      <w:pPr>
        <w:pStyle w:val="30"/>
        <w:spacing w:line="580" w:lineRule="exact"/>
        <w:ind w:firstLineChars="200" w:firstLine="632"/>
        <w:rPr>
          <w:rFonts w:ascii="方正楷体_GBK" w:eastAsia="方正楷体_GBK" w:hint="eastAsia"/>
        </w:rPr>
      </w:pPr>
      <w:r>
        <w:rPr>
          <w:rFonts w:ascii="方正楷体_GBK" w:eastAsia="方正楷体_GBK" w:hint="eastAsia"/>
        </w:rPr>
        <w:t>（一）持续推进关区政务公开工作开展。</w:t>
      </w:r>
    </w:p>
    <w:p>
      <w:pPr>
        <w:pStyle w:val="32"/>
        <w:spacing w:line="580" w:lineRule="exact"/>
        <w:ind w:firstLineChars="200" w:firstLine="632"/>
        <w:rPr>
          <w:rFonts w:ascii="方正仿宋_GBK" w:hint="eastAsia"/>
        </w:rPr>
      </w:pPr>
      <w:r>
        <w:rPr>
          <w:szCs w:val="28"/>
        </w:rPr>
        <w:t>2024</w:t>
      </w:r>
      <w:r>
        <w:rPr>
          <w:rFonts w:ascii="方正仿宋_GBK" w:hint="eastAsia"/>
          <w:szCs w:val="28"/>
        </w:rPr>
        <w:t>年合肥海关通过完善工作机制，规范公开内容，优化公开渠道，推进关区政务公开各项工作高效开展。全年通过合肥海关互联网门户网站、合肥海</w:t>
      </w:r>
      <w:r>
        <w:rPr>
          <w:szCs w:val="28"/>
        </w:rPr>
        <w:t>关12360</w:t>
      </w:r>
      <w:r>
        <w:rPr>
          <w:rFonts w:ascii="方正仿宋_GBK" w:hint="eastAsia"/>
          <w:szCs w:val="28"/>
        </w:rPr>
        <w:t>服务热线微信，主动公开海关政府信息</w:t>
      </w:r>
      <w:r>
        <w:rPr>
          <w:szCs w:val="28"/>
        </w:rPr>
        <w:t>1925</w:t>
      </w:r>
      <w:r>
        <w:rPr>
          <w:rFonts w:ascii="方正仿宋_GBK" w:hint="eastAsia"/>
          <w:szCs w:val="28"/>
        </w:rPr>
        <w:t>条</w:t>
      </w:r>
      <w:r>
        <w:rPr>
          <w:rFonts w:ascii="方正仿宋_GBK" w:hint="eastAsia"/>
        </w:rPr>
        <w:t>。其中：通过网站主动公开海关政府</w:t>
      </w:r>
      <w:r>
        <w:rPr>
          <w:rFonts w:ascii="方正仿宋_GBK" w:hint="eastAsia"/>
          <w:szCs w:val="28"/>
        </w:rPr>
        <w:t>信息</w:t>
      </w:r>
      <w:r>
        <w:rPr>
          <w:szCs w:val="28"/>
        </w:rPr>
        <w:t>1788</w:t>
      </w:r>
      <w:r>
        <w:rPr>
          <w:rFonts w:ascii="方正仿宋_GBK" w:hint="eastAsia"/>
          <w:szCs w:val="28"/>
        </w:rPr>
        <w:t>条，通过微信发布政府信</w:t>
      </w:r>
      <w:r>
        <w:rPr>
          <w:szCs w:val="28"/>
        </w:rPr>
        <w:t>息137</w:t>
      </w:r>
      <w:r>
        <w:rPr>
          <w:rFonts w:ascii="方正仿宋_GBK" w:hint="eastAsia"/>
          <w:szCs w:val="28"/>
        </w:rPr>
        <w:t>条</w:t>
      </w:r>
      <w:r>
        <w:rPr>
          <w:rFonts w:ascii="方正仿宋_GBK" w:hint="eastAsia"/>
        </w:rPr>
        <w:t>。围绕海关政策热点和企业公众关注的问题加强政策解读宣贯，开展“合畅</w:t>
      </w:r>
      <w:r>
        <w:rPr>
          <w:szCs w:val="28"/>
        </w:rPr>
        <w:t>2024</w:t>
      </w:r>
      <w:r>
        <w:rPr>
          <w:rFonts w:ascii="方正仿宋_GBK" w:hint="eastAsia"/>
        </w:rPr>
        <w:t>”和两级关长畅联企业活动。参加政府组织的新闻发布会，组织开展调查征集活动，及时回复各类留言咨询和公众关切。</w:t>
      </w:r>
    </w:p>
    <w:p>
      <w:pPr>
        <w:pStyle w:val="30"/>
        <w:spacing w:line="580" w:lineRule="exact"/>
        <w:ind w:firstLineChars="200" w:firstLine="632"/>
        <w:rPr>
          <w:rFonts w:ascii="方正楷体_GBK" w:eastAsia="方正楷体_GBK" w:hint="eastAsia"/>
        </w:rPr>
      </w:pPr>
      <w:r>
        <w:rPr>
          <w:rFonts w:ascii="方正楷体_GBK" w:eastAsia="方正楷体_GBK" w:hint="eastAsia"/>
        </w:rPr>
        <w:t>（二）规范政府信息依申请公开办理。</w:t>
      </w:r>
    </w:p>
    <w:p>
      <w:pPr>
        <w:pStyle w:val="32"/>
        <w:spacing w:line="580" w:lineRule="exact"/>
        <w:ind w:firstLineChars="200" w:firstLine="632"/>
        <w:rPr>
          <w:rFonts w:ascii="仿宋_GB2312" w:eastAsia="仿宋_GB2312" w:hint="eastAsia"/>
        </w:rPr>
      </w:pPr>
      <w:r>
        <w:t>通过完善政府信息公开指南内容，规范依申请政府信息接收办理反馈渠道，推进申请信息高效办理。</w:t>
      </w:r>
      <w:r>
        <w:rPr>
          <w:szCs w:val="28"/>
        </w:rPr>
        <w:t>2024</w:t>
      </w:r>
      <w:r>
        <w:t>年合肥海关关区共办理依申请公开信息</w:t>
      </w:r>
      <w:r>
        <w:rPr>
          <w:szCs w:val="28"/>
        </w:rPr>
        <w:t>12</w:t>
      </w:r>
      <w:r>
        <w:t>件，政府信息依申请公开未有行政复议、行政诉讼案件的发生</w:t>
      </w:r>
      <w:r>
        <w:rPr>
          <w:rFonts w:ascii="仿宋_GB2312" w:eastAsia="仿宋_GB2312" w:hint="eastAsia"/>
        </w:rPr>
        <w:t>。</w:t>
      </w:r>
    </w:p>
    <w:p>
      <w:pPr>
        <w:pStyle w:val="30"/>
        <w:spacing w:line="580" w:lineRule="exact"/>
        <w:ind w:firstLineChars="200" w:firstLine="632"/>
        <w:rPr>
          <w:rFonts w:ascii="方正楷体_GBK" w:eastAsia="方正楷体_GBK" w:hint="eastAsia"/>
        </w:rPr>
      </w:pPr>
      <w:r>
        <w:rPr>
          <w:rFonts w:ascii="方正楷体_GBK" w:eastAsia="方正楷体_GBK" w:hint="eastAsia"/>
        </w:rPr>
        <w:t>（三）稳步推进政务公开平台建设。</w:t>
      </w:r>
    </w:p>
    <w:p>
      <w:pPr>
        <w:pStyle w:val="30"/>
        <w:spacing w:line="580" w:lineRule="exact"/>
        <w:ind w:firstLineChars="200" w:firstLine="632"/>
      </w:pPr>
      <w:r>
        <w:t>完善门户网站、海关</w:t>
      </w:r>
      <w:r>
        <w:rPr>
          <w:szCs w:val="28"/>
        </w:rPr>
        <w:t>12360</w:t>
      </w:r>
      <w:r>
        <w:t>热线、合肥海</w:t>
      </w:r>
      <w:r>
        <w:rPr>
          <w:szCs w:val="28"/>
        </w:rPr>
        <w:t>关12360服务</w:t>
      </w:r>
      <w:r>
        <w:t>热线微信等信息公开平台建设，提升办事服务效率。在合肥海关门户网站建</w:t>
      </w:r>
      <w:r>
        <w:rPr>
          <w:rFonts w:ascii="方正仿宋_GBK" w:hint="eastAsia"/>
        </w:rPr>
        <w:t>立“基层海关政务公开”</w:t>
      </w:r>
      <w:r>
        <w:t>专题，集中展示隶属海关政务公开标准化规范化建设成果。开设</w:t>
      </w:r>
      <w:r>
        <w:rPr>
          <w:rFonts w:ascii="方正仿宋_GBK" w:hint="eastAsia"/>
        </w:rPr>
        <w:t>“邮件便民直通车”专</w:t>
      </w:r>
      <w:r>
        <w:t>栏，将进出境邮递物品相关法律法规以及群众关心的热点问题进行汇总，为公众提供进出境邮递、政策法规、业务咨询方面的便捷服务。规范隶属海关政务公开专区和品牌建设，建立</w:t>
      </w:r>
      <w:r>
        <w:rPr>
          <w:rFonts w:ascii="方正仿宋_GBK" w:hint="eastAsia"/>
        </w:rPr>
        <w:t>“关长接待日”制</w:t>
      </w:r>
      <w:r>
        <w:t>度，完善公众参与机制。提高海</w:t>
      </w:r>
      <w:r>
        <w:rPr>
          <w:szCs w:val="28"/>
        </w:rPr>
        <w:t>关12360热线服务质量，全年接听咨询电话15487条，电话接通率99%。</w:t>
      </w:r>
    </w:p>
    <w:p>
      <w:pPr>
        <w:pStyle w:val="30"/>
        <w:spacing w:line="580" w:lineRule="exact"/>
        <w:ind w:firstLineChars="200" w:firstLine="632"/>
        <w:rPr>
          <w:rFonts w:ascii="方正楷体_GBK" w:eastAsia="方正楷体_GBK" w:hint="eastAsia"/>
        </w:rPr>
      </w:pPr>
      <w:r>
        <w:rPr>
          <w:rFonts w:ascii="方正楷体_GBK" w:eastAsia="方正楷体_GBK" w:hint="eastAsia"/>
        </w:rPr>
        <w:t>（四）落实工作监督保障机制。</w:t>
      </w:r>
    </w:p>
    <w:p>
      <w:pPr>
        <w:pStyle w:val="33"/>
        <w:spacing w:line="580" w:lineRule="exact"/>
        <w:ind w:firstLineChars="200" w:firstLine="632"/>
        <w:rPr>
          <w:rFonts w:ascii="方正仿宋_GBK" w:hint="eastAsia"/>
        </w:rPr>
      </w:pPr>
      <w:r>
        <w:rPr>
          <w:rFonts w:ascii="方正仿宋_GBK" w:hint="eastAsia"/>
        </w:rPr>
        <w:t>严格落实信息发布三级审核机制，防止泄密事件的发生；日常工作中对海关政府信息发布是否及时、准确、链接是否可用、体格格式是否规范，业务咨询是否及时</w:t>
      </w:r>
      <w:r>
        <w:rPr>
          <w:rFonts w:ascii="方正仿宋_GBK" w:hint="eastAsia"/>
          <w:szCs w:val="28"/>
        </w:rPr>
        <w:t>办理，</w:t>
      </w:r>
      <w:r>
        <w:rPr>
          <w:szCs w:val="28"/>
        </w:rPr>
        <w:t>12360</w:t>
      </w:r>
      <w:r>
        <w:rPr>
          <w:rFonts w:ascii="方正仿宋_GBK" w:hint="eastAsia"/>
        </w:rPr>
        <w:t>热线话务质量以及单位部门对外公开电话和互联网邮箱的接通、接收情况等开展常态化的检查；按季度编发关区政务公开及门户网站维护情况的通报，督促责任单位部门进行问题整改；开展隶属海关政务公开规范化标准化建设回头看专项检查活动，巩固建设成果；聘请海关特约监督员，广泛听取社会各界的意见和建议。</w:t>
      </w:r>
    </w:p>
    <w:p>
      <w:pPr>
        <w:pStyle w:val="30"/>
        <w:spacing w:line="580" w:lineRule="exact"/>
        <w:ind w:firstLineChars="200" w:firstLine="632"/>
        <w:rPr>
          <w:rFonts w:ascii="方正黑体_GBK" w:eastAsia="方正黑体_GBK" w:cs="楷体_GB2312" w:hint="eastAsia"/>
          <w:bCs/>
          <w:szCs w:val="32"/>
          <w:shd w:val="clear" w:color="auto" w:fill="FFFFFF"/>
          <w:lang w:bidi="ar-SA"/>
        </w:rPr>
      </w:pPr>
      <w:r>
        <w:rPr>
          <w:rFonts w:ascii="方正黑体_GBK" w:eastAsia="方正黑体_GBK" w:cs="楷体_GB2312" w:hint="eastAsia"/>
          <w:bCs/>
          <w:szCs w:val="32"/>
          <w:shd w:val="clear" w:color="auto" w:fill="FFFFFF"/>
          <w:lang w:bidi="ar-SA"/>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第二十条第（一）项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信息内容</w:t>
            </w:r>
          </w:p>
        </w:tc>
        <w:tc>
          <w:tcPr>
            <w:tcW w:w="2183"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本年</w:t>
            </w:r>
            <w:r>
              <w:rPr>
                <w:color w:val="auto"/>
                <w:kern w:val="0"/>
                <w:sz w:val="24"/>
                <w:szCs w:val="24"/>
              </w:rPr>
              <w:t>制发件数</w:t>
            </w:r>
          </w:p>
        </w:tc>
        <w:tc>
          <w:tcPr>
            <w:tcW w:w="193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本年废止件</w:t>
            </w:r>
            <w:r>
              <w:rPr>
                <w:color w:val="auto"/>
                <w:kern w:val="0"/>
                <w:sz w:val="24"/>
                <w:szCs w:val="24"/>
              </w:rPr>
              <w:t>数</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现行有效件数</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规章</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4"/>
              <w:spacing w:line="560" w:lineRule="exact"/>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行政规范性文件</w:t>
            </w:r>
          </w:p>
        </w:tc>
        <w:tc>
          <w:tcPr>
            <w:tcW w:w="2183"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l2br w:val="nil"/>
              <w:tr2bl w:val="nil"/>
            </w:tcBorders>
            <w:shd w:val="clear" w:color="auto" w:fill="auto"/>
            <w:vAlign w:val="center"/>
          </w:tcPr>
          <w:p>
            <w:pPr>
              <w:pStyle w:val="34"/>
              <w:spacing w:line="560" w:lineRule="exact"/>
              <w:jc w:val="center"/>
              <w:rPr>
                <w:rFonts w:eastAsia="方正仿宋_GBK"/>
                <w:sz w:val="24"/>
                <w:szCs w:val="24"/>
              </w:rPr>
            </w:pPr>
            <w:r>
              <w:rPr>
                <w:rFonts w:eastAsia="方正仿宋_GBK"/>
                <w:sz w:val="24"/>
                <w:szCs w:val="24"/>
              </w:rPr>
              <w:t>17</w:t>
            </w:r>
          </w:p>
        </w:tc>
      </w:tr>
      <w:tr>
        <w:trPr>
          <w:trHeight w:val="435"/>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4"/>
              <w:widowControl/>
              <w:spacing w:line="560" w:lineRule="exact"/>
              <w:jc w:val="center"/>
              <w:rPr>
                <w:color w:val="auto"/>
                <w:sz w:val="24"/>
                <w:szCs w:val="24"/>
              </w:rPr>
            </w:pPr>
            <w:r>
              <w:rPr>
                <w:rFonts w:ascii="宋体" w:cs="宋体" w:hint="eastAsia"/>
                <w:kern w:val="0"/>
                <w:sz w:val="24"/>
                <w:szCs w:val="24"/>
                <w:lang w:bidi="ar-SA"/>
              </w:rPr>
              <w:t>第二十条第（五）项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5"/>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行政许可</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6"/>
              <w:spacing w:line="560" w:lineRule="exact"/>
              <w:jc w:val="center"/>
              <w:rPr>
                <w:rFonts w:eastAsia="方正仿宋_GBK" w:cs="宋体"/>
                <w:sz w:val="24"/>
                <w:szCs w:val="24"/>
                <w:lang w:bidi="ar-SA"/>
              </w:rPr>
            </w:pPr>
            <w:r>
              <w:rPr>
                <w:rFonts w:eastAsia="方正仿宋_GBK" w:cs="宋体"/>
                <w:sz w:val="24"/>
                <w:szCs w:val="24"/>
                <w:lang w:bidi="ar-SA"/>
              </w:rPr>
              <w:t>956</w:t>
            </w:r>
          </w:p>
        </w:tc>
      </w:tr>
      <w:tr>
        <w:trPr>
          <w:trHeight w:val="406"/>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4"/>
              <w:widowControl/>
              <w:spacing w:line="560" w:lineRule="exact"/>
              <w:jc w:val="center"/>
              <w:rPr>
                <w:color w:val="auto"/>
                <w:sz w:val="24"/>
                <w:szCs w:val="24"/>
              </w:rPr>
            </w:pPr>
            <w:r>
              <w:rPr>
                <w:rFonts w:ascii="宋体" w:cs="宋体" w:hint="eastAsia"/>
                <w:kern w:val="0"/>
                <w:sz w:val="24"/>
                <w:szCs w:val="24"/>
                <w:lang w:bidi="ar-SA"/>
              </w:rPr>
              <w:t>第二十条第（六）项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7"/>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本年处理决定数量</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行政处罚</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ind w:left="0"/>
              <w:jc w:val="center"/>
              <w:rPr>
                <w:rFonts w:eastAsia="方正仿宋_GBK" w:cs="宋体"/>
                <w:sz w:val="24"/>
                <w:szCs w:val="24"/>
                <w:lang w:bidi="ar-SA"/>
              </w:rPr>
            </w:pPr>
            <w:r>
              <w:rPr>
                <w:rFonts w:eastAsia="方正仿宋_GBK" w:cs="宋体"/>
                <w:sz w:val="24"/>
                <w:szCs w:val="24"/>
                <w:lang w:bidi="ar-SA"/>
              </w:rPr>
              <w:t>252</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行政强制</w:t>
            </w:r>
          </w:p>
        </w:tc>
        <w:tc>
          <w:tcPr>
            <w:tcW w:w="6275" w:type="dxa"/>
            <w:gridSpan w:val="3"/>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8"/>
              <w:spacing w:line="560" w:lineRule="exact"/>
              <w:ind w:left="0"/>
              <w:jc w:val="center"/>
              <w:rPr>
                <w:rFonts w:eastAsia="方正仿宋_GBK" w:cs="宋体"/>
                <w:sz w:val="24"/>
                <w:szCs w:val="24"/>
                <w:lang w:bidi="ar-SA"/>
              </w:rPr>
            </w:pPr>
            <w:r>
              <w:rPr>
                <w:rFonts w:eastAsia="方正仿宋_GBK" w:cs="宋体"/>
                <w:sz w:val="24"/>
                <w:szCs w:val="24"/>
                <w:lang w:bidi="ar-SA"/>
              </w:rPr>
              <w:t>5</w:t>
            </w:r>
          </w:p>
        </w:tc>
      </w:tr>
      <w:tr>
        <w:trPr>
          <w:trHeight w:val="474"/>
        </w:trPr>
        <w:tc>
          <w:tcPr>
            <w:tcW w:w="8995" w:type="dxa"/>
            <w:gridSpan w:val="4"/>
            <w:tcBorders>
              <w:top w:val="nil"/>
              <w:left w:val="single" w:sz="8" w:space="0" w:color="auto"/>
              <w:bottom w:val="single" w:sz="8" w:space="0" w:color="auto"/>
              <w:right w:val="single" w:sz="8" w:space="0" w:color="auto"/>
              <w:tl2br w:val="nil"/>
              <w:tr2bl w:val="nil"/>
            </w:tcBorders>
            <w:shd w:val="clear" w:color="auto" w:fill="C6D9F1"/>
            <w:tcMar>
              <w:left w:w="108" w:type="dxa"/>
              <w:right w:w="108" w:type="dxa"/>
            </w:tcMar>
            <w:vAlign w:val="center"/>
          </w:tcPr>
          <w:p>
            <w:pPr>
              <w:pStyle w:val="34"/>
              <w:widowControl/>
              <w:spacing w:line="560" w:lineRule="exact"/>
              <w:jc w:val="center"/>
              <w:rPr>
                <w:color w:val="auto"/>
                <w:sz w:val="24"/>
                <w:szCs w:val="24"/>
              </w:rPr>
            </w:pPr>
            <w:r>
              <w:rPr>
                <w:rFonts w:ascii="宋体" w:cs="宋体" w:hint="eastAsia"/>
                <w:kern w:val="0"/>
                <w:sz w:val="24"/>
                <w:szCs w:val="24"/>
                <w:lang w:bidi="ar-SA"/>
              </w:rPr>
              <w:t>第二十条第（八）项</w:t>
            </w:r>
          </w:p>
        </w:tc>
      </w:tr>
      <w:tr>
        <w:trPr>
          <w:trHeight w:val="68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信息内容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39"/>
              <w:widowControl/>
              <w:adjustRightInd w:val="0"/>
              <w:snapToGrid w:val="0"/>
              <w:spacing w:line="560" w:lineRule="exact"/>
              <w:jc w:val="center"/>
              <w:rPr>
                <w:color w:val="auto"/>
                <w:sz w:val="24"/>
                <w:szCs w:val="24"/>
              </w:rPr>
            </w:pPr>
            <w:r>
              <w:rPr>
                <w:rFonts w:ascii="宋体" w:cs="宋体" w:hint="eastAsia"/>
                <w:color w:val="auto"/>
                <w:kern w:val="0"/>
                <w:sz w:val="24"/>
                <w:szCs w:val="24"/>
                <w:lang w:bidi="ar-SA"/>
              </w:rPr>
              <w:t>本年收费金额（单位：万元）</w:t>
            </w:r>
          </w:p>
        </w:tc>
      </w:tr>
      <w:tr>
        <w:trPr>
          <w:trHeight w:val="510"/>
        </w:trPr>
        <w:tc>
          <w:tcPr>
            <w:tcW w:w="2720"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adjustRightInd w:val="0"/>
              <w:snapToGrid w:val="0"/>
              <w:spacing w:line="560" w:lineRule="exact"/>
              <w:jc w:val="center"/>
            </w:pPr>
            <w:r>
              <w:rPr>
                <w:rFonts w:ascii="宋体" w:cs="宋体" w:hint="eastAsia"/>
                <w:color w:val="auto"/>
                <w:kern w:val="0"/>
                <w:sz w:val="24"/>
                <w:szCs w:val="24"/>
                <w:lang w:bidi="ar-SA"/>
              </w:rPr>
              <w:t>行政事业性收费</w:t>
            </w:r>
          </w:p>
        </w:tc>
        <w:tc>
          <w:tcPr>
            <w:tcW w:w="6275" w:type="dxa"/>
            <w:gridSpan w:val="3"/>
            <w:tcBorders>
              <w:top w:val="nil"/>
              <w:left w:val="nil"/>
              <w:bottom w:val="single" w:sz="8" w:space="0" w:color="auto"/>
              <w:right w:val="single" w:sz="8" w:space="0" w:color="000000"/>
              <w:tl2br w:val="nil"/>
              <w:tr2bl w:val="nil"/>
            </w:tcBorders>
            <w:shd w:val="clear" w:color="auto" w:fill="auto"/>
            <w:tcMar>
              <w:left w:w="108" w:type="dxa"/>
              <w:right w:w="108" w:type="dxa"/>
            </w:tcMar>
            <w:vAlign w:val="center"/>
          </w:tcPr>
          <w:p>
            <w:pPr>
              <w:pStyle w:val="34"/>
              <w:spacing w:line="560" w:lineRule="exact"/>
              <w:jc w:val="center"/>
              <w:rPr>
                <w:rFonts w:eastAsia="方正仿宋_GBK" w:cs="宋体"/>
                <w:sz w:val="24"/>
                <w:szCs w:val="24"/>
                <w:lang w:bidi="ar-SA"/>
              </w:rPr>
            </w:pPr>
            <w:r>
              <w:rPr>
                <w:rFonts w:eastAsia="方正仿宋_GBK" w:cs="宋体"/>
                <w:sz w:val="24"/>
                <w:szCs w:val="24"/>
                <w:lang w:bidi="ar-SA"/>
              </w:rPr>
              <w:t>0</w:t>
            </w:r>
          </w:p>
        </w:tc>
      </w:tr>
    </w:tbl>
    <w:p>
      <w:pPr>
        <w:pStyle w:val="29"/>
        <w:widowControl/>
        <w:shd w:val="clear" w:color="auto" w:fill="FFFFFF"/>
        <w:adjustRightInd w:val="0"/>
        <w:snapToGrid w:val="0"/>
        <w:spacing w:beforeAutospacing="0" w:afterAutospacing="0" w:line="560" w:lineRule="exact"/>
        <w:ind w:left="0" w:firstLineChars="200" w:firstLine="632"/>
        <w:jc w:val="both"/>
        <w:rPr>
          <w:rFonts w:ascii="方正黑体_GBK" w:eastAsia="方正黑体_GBK" w:cs="楷体_GB2312" w:hint="eastAsia"/>
          <w:bCs/>
          <w:sz w:val="32"/>
          <w:szCs w:val="32"/>
          <w:shd w:val="clear" w:color="auto" w:fill="FFFFFF"/>
          <w:lang w:bidi="ar-SA"/>
        </w:rPr>
      </w:pPr>
      <w:r>
        <w:rPr>
          <w:rFonts w:ascii="方正黑体_GBK" w:eastAsia="方正黑体_GBK" w:cs="楷体_GB2312" w:hint="eastAsia"/>
          <w:bCs/>
          <w:sz w:val="32"/>
          <w:szCs w:val="32"/>
          <w:shd w:val="clear" w:color="auto" w:fill="FFFFFF"/>
          <w:lang w:bidi="ar-SA"/>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自然人</w:t>
            </w:r>
          </w:p>
        </w:tc>
        <w:tc>
          <w:tcPr>
            <w:tcW w:w="3452"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商业企业</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科研机构</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社会公益组织</w:t>
            </w:r>
          </w:p>
        </w:tc>
        <w:tc>
          <w:tcPr>
            <w:tcW w:w="76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法律服务机构</w:t>
            </w:r>
          </w:p>
        </w:tc>
        <w:tc>
          <w:tcPr>
            <w:tcW w:w="497"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rPr>
            </w:pPr>
            <w:r>
              <w:rPr>
                <w:rFonts w:ascii="宋体" w:cs="宋体" w:hint="eastAsia"/>
                <w:color w:val="auto"/>
                <w:kern w:val="0"/>
                <w:sz w:val="20"/>
                <w:szCs w:val="20"/>
                <w:lang w:bidi="ar-SA"/>
              </w:rPr>
              <w:t>其他</w:t>
            </w:r>
          </w:p>
        </w:tc>
        <w:tc>
          <w:tcPr>
            <w:tcW w:w="682"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4"/>
              <w:widowControl/>
              <w:spacing w:line="560" w:lineRule="exact"/>
              <w:jc w:val="left"/>
              <w:rPr>
                <w:color w:val="auto"/>
                <w:sz w:val="24"/>
                <w:szCs w:val="24"/>
              </w:rPr>
            </w:pPr>
            <w:r>
              <w:rPr>
                <w:rFonts w:ascii="宋体" w:cs="宋体" w:hint="eastAsia"/>
                <w:color w:val="auto"/>
                <w:kern w:val="0"/>
                <w:sz w:val="24"/>
                <w:szCs w:val="24"/>
                <w:lang w:bidi="ar-SA"/>
              </w:rPr>
              <w:t>一、本年新收政府信息公开申请数量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jc w:val="center"/>
              <w:rPr>
                <w:rFonts w:eastAsia="方正仿宋_GBK"/>
                <w:sz w:val="24"/>
                <w:szCs w:val="24"/>
              </w:rPr>
            </w:pPr>
            <w:r>
              <w:rPr>
                <w:rFonts w:eastAsia="方正仿宋_GBK"/>
                <w:sz w:val="24"/>
                <w:szCs w:val="24"/>
              </w:rPr>
              <w:t>12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12</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tcPr>
          <w:p>
            <w:pPr>
              <w:pStyle w:val="34"/>
              <w:widowControl/>
              <w:spacing w:line="560" w:lineRule="exact"/>
              <w:jc w:val="left"/>
              <w:rPr>
                <w:color w:val="auto"/>
                <w:sz w:val="24"/>
                <w:szCs w:val="24"/>
              </w:rPr>
            </w:pPr>
            <w:r>
              <w:rPr>
                <w:rFonts w:ascii="宋体" w:cs="宋体" w:hint="eastAsia"/>
                <w:color w:val="auto"/>
                <w:kern w:val="0"/>
                <w:sz w:val="24"/>
                <w:szCs w:val="24"/>
                <w:lang w:bidi="ar-SA"/>
              </w:rPr>
              <w:t>二、上年结转政府信息公开申请数量</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spacing w:line="560" w:lineRule="exact"/>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三、本年度办理结果</w:t>
            </w: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left"/>
              <w:rPr>
                <w:color w:val="auto"/>
                <w:sz w:val="24"/>
                <w:szCs w:val="24"/>
              </w:rPr>
            </w:pPr>
            <w:r>
              <w:rPr>
                <w:rFonts w:ascii="楷体" w:eastAsia="楷体" w:cs="楷体" w:hint="eastAsia"/>
                <w:color w:val="auto"/>
                <w:kern w:val="0"/>
                <w:sz w:val="24"/>
                <w:szCs w:val="24"/>
                <w:lang w:bidi="ar-SA"/>
              </w:rPr>
              <w:t>（一）予以公开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8</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8</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left"/>
              <w:rPr>
                <w:color w:val="auto"/>
                <w:sz w:val="24"/>
                <w:szCs w:val="24"/>
              </w:rPr>
            </w:pPr>
            <w:r>
              <w:rPr>
                <w:rFonts w:ascii="楷体" w:eastAsia="楷体" w:cs="楷体" w:hint="eastAsia"/>
                <w:color w:val="auto"/>
                <w:kern w:val="0"/>
                <w:sz w:val="24"/>
                <w:szCs w:val="24"/>
                <w:lang w:bidi="ar-SA"/>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（三）不予公开</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1.属于国家秘密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2.其他法律行政法规禁止公开</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3.危及“三安全一稳定”</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4.保护第三方合法权益</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5.属于三类内部事务信息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6.属于四类过程性信息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7.属于行政执法案卷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8.属于行政查询事项</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（四）无法提供</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1.本机关不掌握相关政府信息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2</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2.没有现成信息需要另行制作</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3.补正后申请内容仍不明确</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（五）不予处理</w:t>
            </w: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1.信访举报投诉类申请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2.重复申请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3.要求提供公开出版物</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4.无正当理由大量反复申请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5.要求行政机关确认或重新出具已获取信息</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（六）其他处理</w:t>
            </w: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4"/>
              <w:widowControl/>
              <w:spacing w:line="560" w:lineRule="exact"/>
              <w:rPr>
                <w:rFonts w:ascii="楷体" w:eastAsia="楷体" w:cs="楷体" w:hint="eastAsia"/>
                <w:kern w:val="0"/>
                <w:sz w:val="24"/>
                <w:szCs w:val="24"/>
                <w:lang w:bidi="ar-SA"/>
              </w:rPr>
            </w:pPr>
            <w:r>
              <w:rPr>
                <w:rFonts w:ascii="楷体" w:eastAsia="楷体" w:cs="楷体" w:hint="eastAsia"/>
                <w:kern w:val="0"/>
                <w:sz w:val="24"/>
                <w:szCs w:val="24"/>
                <w:lang w:bidi="ar-SA"/>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4"/>
              <w:widowControl/>
              <w:spacing w:line="560" w:lineRule="exact"/>
              <w:rPr>
                <w:rFonts w:ascii="楷体" w:eastAsia="楷体" w:cs="楷体" w:hint="eastAsia"/>
                <w:kern w:val="0"/>
                <w:sz w:val="24"/>
                <w:szCs w:val="24"/>
                <w:lang w:bidi="ar-SA"/>
              </w:rPr>
            </w:pPr>
            <w:r>
              <w:rPr>
                <w:rFonts w:ascii="楷体" w:eastAsia="楷体" w:cs="楷体" w:hint="eastAsia"/>
                <w:kern w:val="0"/>
                <w:sz w:val="24"/>
                <w:szCs w:val="24"/>
                <w:lang w:bidi="ar-SA"/>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4"/>
              <w:widowControl/>
              <w:spacing w:line="560" w:lineRule="exact"/>
              <w:rPr>
                <w:rFonts w:ascii="楷体" w:eastAsia="楷体" w:cs="楷体" w:hint="eastAsia"/>
                <w:kern w:val="0"/>
                <w:sz w:val="24"/>
                <w:szCs w:val="24"/>
                <w:lang w:bidi="ar-SA"/>
              </w:rPr>
            </w:pPr>
            <w:r>
              <w:rPr>
                <w:rFonts w:ascii="楷体" w:eastAsia="楷体" w:cs="楷体" w:hint="eastAsia"/>
                <w:kern w:val="0"/>
                <w:sz w:val="24"/>
                <w:szCs w:val="24"/>
                <w:lang w:bidi="ar-SA"/>
              </w:rPr>
              <w:t>3.咨询事项，指引咨询渠道</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l2br w:val="nil"/>
              <w:tr2bl w:val="nil"/>
            </w:tcBorders>
            <w:shd w:val="clear" w:color="auto" w:fill="auto"/>
            <w:vAlign w:val="center"/>
          </w:tcPr>
          <w:p/>
        </w:tc>
        <w:tc>
          <w:tcPr>
            <w:tcW w:w="936" w:type="dxa"/>
            <w:vMerge/>
            <w:tcBorders>
              <w:top w:val="nil"/>
              <w:left w:val="nil"/>
              <w:bottom w:val="single" w:sz="8" w:space="0" w:color="auto"/>
              <w:right w:val="single" w:sz="8" w:space="0" w:color="auto"/>
              <w:tl2br w:val="nil"/>
              <w:tr2bl w:val="nil"/>
            </w:tcBorders>
            <w:shd w:val="clear" w:color="auto" w:fill="auto"/>
            <w:vAlign w:val="center"/>
          </w:tcPr>
          <w:p/>
        </w:tc>
        <w:tc>
          <w:tcPr>
            <w:tcW w:w="2670" w:type="dxa"/>
            <w:tcBorders>
              <w:top w:val="nil"/>
              <w:left w:val="single" w:sz="8" w:space="0" w:color="auto"/>
              <w:bottom w:val="single" w:sz="8" w:space="0" w:color="auto"/>
              <w:right w:val="single" w:sz="8" w:space="0" w:color="auto"/>
              <w:tl2br w:val="nil"/>
              <w:tr2bl w:val="nil"/>
            </w:tcBorders>
            <w:shd w:val="clear" w:color="auto" w:fill="auto"/>
          </w:tcPr>
          <w:p>
            <w:pPr>
              <w:pStyle w:val="34"/>
              <w:widowControl/>
              <w:spacing w:line="560" w:lineRule="exact"/>
              <w:rPr>
                <w:rFonts w:ascii="楷体" w:eastAsia="楷体" w:cs="楷体" w:hint="eastAsia"/>
                <w:kern w:val="0"/>
                <w:sz w:val="24"/>
                <w:szCs w:val="24"/>
                <w:lang w:bidi="ar-SA"/>
              </w:rPr>
            </w:pPr>
            <w:r>
              <w:rPr>
                <w:rFonts w:ascii="楷体" w:eastAsia="楷体" w:cs="楷体" w:hint="eastAsia"/>
                <w:kern w:val="0"/>
                <w:sz w:val="24"/>
                <w:szCs w:val="24"/>
                <w:lang w:bidi="ar-SA"/>
              </w:rPr>
              <w:t>4.申请人撤销申请</w:t>
            </w:r>
          </w:p>
        </w:tc>
        <w:tc>
          <w:tcPr>
            <w:tcW w:w="63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1</w:t>
            </w:r>
          </w:p>
        </w:tc>
        <w:tc>
          <w:tcPr>
            <w:tcW w:w="67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vAlign w:val="center"/>
          </w:tcPr>
          <w:p>
            <w:pPr>
              <w:pStyle w:val="30"/>
              <w:spacing w:line="560" w:lineRule="exact"/>
              <w:jc w:val="center"/>
            </w:pPr>
            <w:r>
              <w:rPr>
                <w:rFonts w:eastAsia="方正仿宋_GBK"/>
                <w:sz w:val="24"/>
                <w:szCs w:val="24"/>
              </w:rPr>
              <w:t>1</w:t>
            </w:r>
          </w:p>
        </w:tc>
      </w:tr>
      <w:tr>
        <w:tc>
          <w:tcPr>
            <w:tcW w:w="696"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rPr>
                <w:color w:val="auto"/>
                <w:sz w:val="24"/>
                <w:szCs w:val="24"/>
              </w:rPr>
            </w:pPr>
            <w:r>
              <w:rPr>
                <w:rFonts w:ascii="楷体" w:eastAsia="楷体" w:cs="楷体" w:hint="eastAsia"/>
                <w:color w:val="auto"/>
                <w:kern w:val="0"/>
                <w:sz w:val="24"/>
                <w:szCs w:val="24"/>
                <w:lang w:bidi="ar-SA"/>
              </w:rPr>
              <w:t>（七）总计</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12</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12</w:t>
            </w:r>
          </w:p>
        </w:tc>
      </w:tr>
      <w:tr>
        <w:tc>
          <w:tcPr>
            <w:tcW w:w="4302" w:type="dxa"/>
            <w:gridSpan w:val="3"/>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left"/>
              <w:rPr>
                <w:color w:val="auto"/>
              </w:rPr>
            </w:pPr>
            <w:r>
              <w:rPr>
                <w:rFonts w:ascii="宋体" w:cs="宋体" w:hint="eastAsia"/>
                <w:color w:val="auto"/>
                <w:kern w:val="0"/>
                <w:sz w:val="24"/>
                <w:szCs w:val="24"/>
                <w:lang w:bidi="ar-SA"/>
              </w:rPr>
              <w:t>四、结转下年度继续办理</w:t>
            </w:r>
          </w:p>
        </w:tc>
        <w:tc>
          <w:tcPr>
            <w:tcW w:w="63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7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76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497"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82"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bl>
    <w:p>
      <w:pPr>
        <w:pStyle w:val="29"/>
        <w:widowControl/>
        <w:shd w:val="clear" w:color="auto" w:fill="FFFFFF"/>
        <w:spacing w:beforeLines="50" w:before="290" w:beforeAutospacing="0" w:after="120" w:afterAutospacing="0" w:line="560" w:lineRule="exact"/>
        <w:ind w:left="0" w:firstLineChars="200" w:firstLine="632"/>
        <w:jc w:val="both"/>
        <w:rPr>
          <w:rFonts w:ascii="宋体" w:cs="宋体" w:hint="eastAsia"/>
          <w:color w:val="auto"/>
          <w:szCs w:val="24"/>
          <w:lang w:bidi="ar-SA"/>
        </w:rPr>
      </w:pPr>
      <w:r>
        <w:rPr>
          <w:rFonts w:ascii="方正黑体_GBK" w:eastAsia="方正黑体_GBK" w:cs="楷体_GB2312" w:hint="eastAsia"/>
          <w:bCs/>
          <w:color w:val="auto"/>
          <w:sz w:val="32"/>
          <w:szCs w:val="32"/>
          <w:shd w:val="clear" w:color="auto" w:fill="FFFFFF"/>
          <w:lang w:bidi="ar-SA"/>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行政复议</w:t>
            </w:r>
          </w:p>
        </w:tc>
        <w:tc>
          <w:tcPr>
            <w:tcW w:w="5997" w:type="dxa"/>
            <w:gridSpan w:val="10"/>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行政诉讼</w:t>
            </w:r>
          </w:p>
        </w:tc>
      </w:tr>
      <w:tr>
        <w:tc>
          <w:tcPr>
            <w:tcW w:w="604" w:type="dxa"/>
            <w:vMerge w:val="restart"/>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结果维持</w:t>
            </w:r>
          </w:p>
        </w:tc>
        <w:tc>
          <w:tcPr>
            <w:tcW w:w="604" w:type="dxa"/>
            <w:vMerge w:val="restart"/>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结果纠正</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其他结果</w:t>
            </w:r>
          </w:p>
        </w:tc>
        <w:tc>
          <w:tcPr>
            <w:tcW w:w="604"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尚未审结</w:t>
            </w:r>
          </w:p>
        </w:tc>
        <w:tc>
          <w:tcPr>
            <w:tcW w:w="658" w:type="dxa"/>
            <w:vMerge w:val="restart"/>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总计</w:t>
            </w:r>
          </w:p>
        </w:tc>
        <w:tc>
          <w:tcPr>
            <w:tcW w:w="2970"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未经复议直接起诉</w:t>
            </w:r>
          </w:p>
        </w:tc>
        <w:tc>
          <w:tcPr>
            <w:tcW w:w="3027" w:type="dxa"/>
            <w:gridSpan w:val="5"/>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复议后起诉</w:t>
            </w:r>
          </w:p>
        </w:tc>
      </w:tr>
      <w:tr>
        <w:tc>
          <w:tcPr>
            <w:tcW w:w="604" w:type="dxa"/>
            <w:vMerge/>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结果维持</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其他结果</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尚未审结</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总计</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结果维持</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结果纠正</w:t>
            </w:r>
          </w:p>
        </w:tc>
        <w:tc>
          <w:tcPr>
            <w:tcW w:w="605"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其他结果</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尚未审结</w:t>
            </w:r>
          </w:p>
        </w:tc>
        <w:tc>
          <w:tcPr>
            <w:tcW w:w="606" w:type="dxa"/>
            <w:tcBorders>
              <w:top w:val="single" w:sz="8" w:space="0" w:color="auto"/>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4"/>
              <w:widowControl/>
              <w:spacing w:line="560" w:lineRule="exact"/>
              <w:jc w:val="center"/>
              <w:rPr>
                <w:color w:val="auto"/>
                <w:sz w:val="24"/>
                <w:szCs w:val="24"/>
              </w:rPr>
            </w:pPr>
            <w:r>
              <w:rPr>
                <w:rFonts w:ascii="宋体" w:cs="宋体" w:hint="eastAsia"/>
                <w:color w:val="auto"/>
                <w:kern w:val="0"/>
                <w:sz w:val="24"/>
                <w:szCs w:val="24"/>
                <w:lang w:bidi="ar-SA"/>
              </w:rPr>
              <w:t>总计</w:t>
            </w:r>
          </w:p>
        </w:tc>
      </w:tr>
      <w:tr>
        <w:trPr>
          <w:trHeight w:val="862"/>
        </w:trPr>
        <w:tc>
          <w:tcPr>
            <w:tcW w:w="604" w:type="dxa"/>
            <w:tcBorders>
              <w:top w:val="nil"/>
              <w:left w:val="single" w:sz="8" w:space="0" w:color="auto"/>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4"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58"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550"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5"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c>
          <w:tcPr>
            <w:tcW w:w="606" w:type="dxa"/>
            <w:tcBorders>
              <w:top w:val="nil"/>
              <w:left w:val="nil"/>
              <w:bottom w:val="single" w:sz="8" w:space="0" w:color="auto"/>
              <w:right w:val="single" w:sz="8" w:space="0" w:color="auto"/>
              <w:tl2br w:val="nil"/>
              <w:tr2bl w:val="nil"/>
            </w:tcBorders>
            <w:shd w:val="clear" w:color="auto" w:fill="auto"/>
            <w:tcMar>
              <w:left w:w="108" w:type="dxa"/>
              <w:right w:w="108" w:type="dxa"/>
            </w:tcMar>
            <w:vAlign w:val="center"/>
          </w:tcPr>
          <w:p>
            <w:pPr>
              <w:pStyle w:val="30"/>
              <w:spacing w:line="560" w:lineRule="exact"/>
              <w:jc w:val="center"/>
            </w:pPr>
            <w:r>
              <w:rPr>
                <w:rFonts w:eastAsia="方正仿宋_GBK"/>
                <w:sz w:val="24"/>
                <w:szCs w:val="24"/>
              </w:rPr>
              <w:t>0</w:t>
            </w:r>
          </w:p>
        </w:tc>
      </w:tr>
    </w:tbl>
    <w:p>
      <w:pPr>
        <w:pStyle w:val="30"/>
        <w:spacing w:line="560" w:lineRule="exact"/>
        <w:ind w:left="0" w:firstLineChars="200" w:firstLine="632"/>
        <w:rPr>
          <w:rFonts w:ascii="方正黑体_GBK" w:eastAsia="方正黑体_GBK" w:hint="eastAsia"/>
        </w:rPr>
      </w:pPr>
      <w:r>
        <w:rPr>
          <w:rFonts w:ascii="方正黑体_GBK" w:eastAsia="方正黑体_GBK" w:hint="eastAsia"/>
        </w:rPr>
        <w:t>五、存在的主要问题及改进情况</w:t>
      </w:r>
    </w:p>
    <w:p>
      <w:pPr>
        <w:pStyle w:val="30"/>
        <w:spacing w:line="560" w:lineRule="exact"/>
        <w:ind w:firstLineChars="200" w:firstLine="632"/>
        <w:rPr>
          <w:rFonts w:ascii="方正楷体_GBK" w:eastAsia="方正楷体_GBK" w:hint="eastAsia"/>
        </w:rPr>
      </w:pPr>
      <w:r>
        <w:rPr>
          <w:rFonts w:ascii="方正楷体_GBK" w:eastAsia="方正楷体_GBK" w:hint="eastAsia"/>
        </w:rPr>
        <w:t>（一）2023年年报中所提问题整改情况。</w:t>
      </w:r>
    </w:p>
    <w:p>
      <w:pPr>
        <w:pStyle w:val="30"/>
        <w:spacing w:line="560" w:lineRule="exact"/>
        <w:ind w:firstLineChars="200" w:firstLine="632"/>
        <w:rPr>
          <w:rFonts w:ascii="方正仿宋_GBK" w:hint="eastAsia"/>
        </w:rPr>
      </w:pPr>
      <w:r>
        <w:rPr>
          <w:rFonts w:ascii="方正仿宋_GBK" w:hint="eastAsia"/>
        </w:rPr>
        <w:t>存在问题：隶属海关政务公开标准化规范化建设工作虽然都已达标，但建设水平</w:t>
      </w:r>
      <w:r>
        <w:rPr>
          <w:rFonts w:ascii="方正仿宋_GBK"/>
        </w:rPr>
        <w:t>参差不齐</w:t>
      </w:r>
      <w:bookmarkStart w:id="0" w:name="_GoBack"/>
      <w:bookmarkEnd w:id="0"/>
      <w:r>
        <w:rPr>
          <w:rFonts w:ascii="方正仿宋_GBK" w:hint="eastAsia"/>
        </w:rPr>
        <w:t>，工作质量还需提升。行政执法信息发布内容和范围还需拓展，信息公开的及时性、内容质量以及工作人员的业务能力还需进一步提升。</w:t>
      </w:r>
    </w:p>
    <w:p>
      <w:pPr>
        <w:pStyle w:val="40"/>
        <w:spacing w:line="560" w:lineRule="exact"/>
        <w:ind w:firstLineChars="200" w:firstLine="632"/>
        <w:rPr>
          <w:rFonts w:ascii="方正仿宋_GBK" w:hint="eastAsia"/>
        </w:rPr>
      </w:pPr>
      <w:r>
        <w:rPr>
          <w:rFonts w:ascii="方正仿宋_GBK" w:hint="eastAsia"/>
        </w:rPr>
        <w:t>改进措施：开展政务公开标准化规范化建设回头看活动，组织人员对隶属海关政务公开专区建设、政务服务品牌建设、政务公开目录编制、政务服务目录事项清单、政府信息发布审批机制落实和行政执法信息发布等事项进行重点督查，对发现问题及时督促责任单位进行整改；拓展“双随机一公开”行政执法信息的公开范围。行政检查结果公示内容</w:t>
      </w:r>
      <w:r>
        <w:rPr>
          <w:rFonts w:ascii="方正仿宋_GBK" w:hint="eastAsia"/>
          <w:szCs w:val="28"/>
        </w:rPr>
        <w:t>由</w:t>
      </w:r>
      <w:r>
        <w:rPr>
          <w:szCs w:val="28"/>
        </w:rPr>
        <w:t>5项扩大至9</w:t>
      </w:r>
      <w:r>
        <w:rPr>
          <w:rFonts w:ascii="方正仿宋_GBK" w:hint="eastAsia"/>
          <w:szCs w:val="28"/>
        </w:rPr>
        <w:t>项，</w:t>
      </w:r>
      <w:r>
        <w:rPr>
          <w:rFonts w:ascii="方正仿宋_GBK" w:hint="eastAsia"/>
        </w:rPr>
        <w:t>信息公开的及时性和质量进一步提升；有重点和针对性进行现场业务培训，实地解决一线工作人员遇到的实际问题，提升业务能力。</w:t>
      </w:r>
    </w:p>
    <w:p>
      <w:pPr>
        <w:pStyle w:val="30"/>
        <w:spacing w:line="560" w:lineRule="exact"/>
        <w:ind w:firstLineChars="200" w:firstLine="632"/>
        <w:rPr>
          <w:rFonts w:ascii="方正楷体_GBK" w:eastAsia="方正楷体_GBK" w:hint="eastAsia"/>
        </w:rPr>
      </w:pPr>
      <w:r>
        <w:rPr>
          <w:rFonts w:ascii="方正楷体_GBK" w:eastAsia="方正楷体_GBK" w:hint="eastAsia"/>
        </w:rPr>
        <w:t>（二）目前存在的问题。</w:t>
      </w:r>
    </w:p>
    <w:p>
      <w:pPr>
        <w:pStyle w:val="41"/>
        <w:spacing w:line="560" w:lineRule="exact"/>
        <w:ind w:firstLineChars="200" w:firstLine="632"/>
      </w:pPr>
      <w:r>
        <w:t>隶属海关人员岗位变动频繁，政务公开岗位人员业务能力有待提高。</w:t>
      </w:r>
    </w:p>
    <w:p>
      <w:pPr>
        <w:pStyle w:val="30"/>
        <w:spacing w:line="560" w:lineRule="exact"/>
        <w:ind w:firstLineChars="200" w:firstLine="632"/>
        <w:rPr>
          <w:rFonts w:ascii="方正黑体_GBK" w:eastAsia="方正黑体_GBK" w:hint="eastAsia"/>
        </w:rPr>
      </w:pPr>
      <w:r>
        <w:rPr>
          <w:rFonts w:ascii="方正黑体_GBK" w:eastAsia="方正黑体_GBK" w:hint="eastAsia"/>
        </w:rPr>
        <w:t>六、其他需要报告的事项</w:t>
      </w:r>
    </w:p>
    <w:p>
      <w:pPr>
        <w:pStyle w:val="30"/>
        <w:spacing w:line="560" w:lineRule="exact"/>
        <w:ind w:firstLineChars="200" w:firstLine="632"/>
      </w:pPr>
      <w:r>
        <w:t>合肥海关关</w:t>
      </w:r>
      <w:r>
        <w:rPr>
          <w:szCs w:val="28"/>
        </w:rPr>
        <w:t>区2024年</w:t>
      </w:r>
      <w:r>
        <w:t>无收取信息处理费情况。</w:t>
      </w:r>
      <w:bookmarkStart w:id="1" w:name="cogw__署外抄送__Text"/>
      <w:bookmarkEnd w:id="1"/>
    </w:p>
    <w:p>
      <w:pPr>
        <w:jc w:val="left"/>
      </w:pPr>
    </w:p>
    <w:sectPr>
      <w:pgSz w:w="11907" w:h="16840"/>
      <w:pgMar w:top="2098" w:right="1474" w:bottom="1985" w:left="1588" w:header="1814" w:footer="1474" w:gutter="0"/>
      <w:pgNumType w:start="0"/>
      <w:titlePg/>
      <w:docGrid w:type="linesAndChars" w:linePitch="580" w:charSpace="-840"/>
    </w:sectPr>
  </w:body>
</w:document>
</file>

<file path=word/fontTable.xml><?xml version="1.0" encoding="utf-8"?>
<w:fonts xmlns:w="http://schemas.openxmlformats.org/wordprocessingml/2006/main" xmlns:r="http://schemas.openxmlformats.org/officeDocument/2006/relationships">
  <w:font w:name="方正小标宋_GBK">
    <w:altName w:val="宋体"/>
    <w:panose1 w:val="00000000000000000000"/>
    <w:charset w:val="00"/>
    <w:family w:val="auto"/>
    <w:pitch w:val="variable"/>
    <w:sig w:usb0="00000000" w:usb1="00000000" w:usb2="00000000" w:usb3="00000000" w:csb0="00000000" w:csb1="00000000"/>
  </w:font>
  <w:font w:name="仿宋_GB2312">
    <w:altName w:val="仿宋"/>
    <w:panose1 w:val="02010609030101010101"/>
    <w:charset w:val="86"/>
    <w:family w:val="auto"/>
    <w:pitch w:val="variable"/>
    <w:sig w:usb0="00000001" w:usb1="080E0000" w:usb2="00000000" w:usb3="00000000" w:csb0="00040000" w:csb1="00000000"/>
  </w:font>
  <w:font w:name="方正黑体_GBK">
    <w:altName w:val="宋体"/>
    <w:panose1 w:val="00000000000000000000"/>
    <w:charset w:val="00"/>
    <w:family w:val="auto"/>
    <w:pitch w:val="variable"/>
    <w:sig w:usb0="00000000" w:usb1="00000000" w:usb2="00000000" w:usb3="00000000" w:csb0="00000000" w:csb1="00000000"/>
  </w:font>
  <w:font w:name="方正楷体_GBK">
    <w:altName w:val="宋体"/>
    <w:panose1 w:val="00000000000000000000"/>
    <w:charset w:val="00"/>
    <w:family w:val="auto"/>
    <w:pitch w:val="variable"/>
    <w:sig w:usb0="00000000" w:usb1="00000000" w:usb2="00000000" w:usb3="00000000" w:csb0="00000000" w:csb1="00000000"/>
  </w:font>
  <w:font w:name="方正仿宋_GBK">
    <w:altName w:val="Arial Unicode MS"/>
    <w:panose1 w:val="03000509000000000000"/>
    <w:charset w:val="86"/>
    <w:family w:val="script"/>
    <w:pitch w:val="variable"/>
    <w:sig w:usb0="00000001" w:usb1="080E0000" w:usb2="00000000" w:usb3="00000000" w:csb0="00040000" w:csb1="00000000"/>
  </w:font>
  <w:font w:name="楷体_GB2312">
    <w:panose1 w:val="02010609030101010101"/>
    <w:charset w:val="86"/>
    <w:family w:val="auto"/>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楷体">
    <w:panose1 w:val="02010609060101010101"/>
    <w:charset w:val="86"/>
    <w:family w:val="auto"/>
    <w:pitch w:val="variable"/>
    <w:sig w:usb0="800002BF" w:usb1="38CF7CFA" w:usb2="00000016"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黑体">
    <w:panose1 w:val="02010600030101010101"/>
    <w:charset w:val="86"/>
    <w:family w:val="auto"/>
    <w:pitch w:val="variable"/>
    <w:sig w:usb0="00000001" w:usb1="080E0000" w:usb2="00000000" w:usb3="00000000" w:csb0="0004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0"/>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 w:type="paragraph" w:styleId="15">
    <w:name w:val="index 7"/>
    <w:basedOn w:val="0"/>
    <w:autoRedefine/>
    <w:next w:val="0"/>
    <w:pPr>
      <w:ind w:left="2520"/>
    </w:pPr>
  </w:style>
  <w:style w:type="paragraph" w:styleId="16">
    <w:name w:val="index 8"/>
    <w:basedOn w:val="0"/>
    <w:autoRedefine/>
    <w:next w:val="0"/>
    <w:pPr>
      <w:ind w:left="2940"/>
    </w:pPr>
  </w:style>
  <w:style w:type="paragraph" w:styleId="17">
    <w:name w:val="index 9"/>
    <w:basedOn w:val="0"/>
    <w:autoRedefine/>
    <w:next w:val="0"/>
    <w:pPr>
      <w:ind w:left="3360"/>
    </w:pPr>
  </w:style>
  <w:style w:type="paragraph" w:styleId="18">
    <w:name w:val="toc 1"/>
    <w:basedOn w:val="0"/>
    <w:autoRedefine/>
    <w:next w:val="0"/>
  </w:style>
  <w:style w:type="paragraph" w:styleId="19">
    <w:name w:val="toc 2"/>
    <w:basedOn w:val="0"/>
    <w:autoRedefine/>
    <w:next w:val="0"/>
    <w:pPr>
      <w:ind w:left="420"/>
    </w:pPr>
  </w:style>
  <w:style w:type="paragraph" w:styleId="20">
    <w:name w:val="toc 3"/>
    <w:basedOn w:val="0"/>
    <w:autoRedefine/>
    <w:next w:val="0"/>
    <w:pPr>
      <w:ind w:left="840"/>
    </w:pPr>
  </w:style>
  <w:style w:type="paragraph" w:styleId="21">
    <w:name w:val="toc 4"/>
    <w:basedOn w:val="0"/>
    <w:autoRedefine/>
    <w:next w:val="0"/>
    <w:pPr>
      <w:ind w:left="1260"/>
    </w:pPr>
  </w:style>
  <w:style w:type="paragraph" w:styleId="22">
    <w:name w:val="toc 5"/>
    <w:basedOn w:val="0"/>
    <w:autoRedefine/>
    <w:next w:val="0"/>
    <w:pPr>
      <w:ind w:left="1680"/>
    </w:pPr>
  </w:style>
  <w:style w:type="paragraph" w:styleId="23">
    <w:name w:val="toc 6"/>
    <w:basedOn w:val="0"/>
    <w:autoRedefine/>
    <w:next w:val="0"/>
    <w:pPr>
      <w:ind w:left="2100"/>
    </w:pPr>
  </w:style>
  <w:style w:type="paragraph" w:styleId="24">
    <w:name w:val="toc 7"/>
    <w:basedOn w:val="0"/>
    <w:autoRedefine/>
    <w:next w:val="0"/>
    <w:pPr>
      <w:ind w:left="2520"/>
    </w:pPr>
  </w:style>
  <w:style w:type="paragraph" w:styleId="25">
    <w:name w:val="toc 8"/>
    <w:basedOn w:val="0"/>
    <w:autoRedefine/>
    <w:next w:val="0"/>
    <w:pPr>
      <w:ind w:left="2940"/>
    </w:pPr>
  </w:style>
  <w:style w:type="paragraph" w:styleId="26">
    <w:name w:val="toc 9"/>
    <w:basedOn w:val="0"/>
    <w:autoRedefine/>
    <w:next w:val="0"/>
    <w:pPr>
      <w:ind w:left="3360"/>
    </w:pPr>
  </w:style>
  <w:style w:type="paragraph" w:styleId="27">
    <w:name w:val="header"/>
    <w:basedOn w:val="0"/>
    <w:pPr>
      <w:pBdr>
        <w:bottom w:val="single" w:sz="6" w:space="1" w:color="auto"/>
      </w:pBdr>
      <w:tabs>
        <w:tab w:val="center" w:pos="4153"/>
        <w:tab w:val="right" w:pos="8307"/>
      </w:tabs>
      <w:snapToGrid w:val="0"/>
      <w:jc w:val="center"/>
    </w:pPr>
    <w:rPr>
      <w:sz w:val="18"/>
    </w:rPr>
  </w:style>
  <w:style w:type="paragraph" w:styleId="28">
    <w:name w:val="footer"/>
    <w:basedOn w:val="0"/>
    <w:pPr>
      <w:tabs>
        <w:tab w:val="center" w:pos="4153"/>
        <w:tab w:val="right" w:pos="8307"/>
      </w:tabs>
      <w:snapToGrid w:val="0"/>
      <w:jc w:val="left"/>
    </w:pPr>
    <w:rPr>
      <w:sz w:val="18"/>
    </w:rPr>
  </w:style>
  <w:style w:type="paragraph" w:styleId="29">
    <w:name w:val="Normal (Web)"/>
    <w:pPr>
      <w:widowControl w:val="0"/>
      <w:spacing w:beforeAutospacing="1" w:afterAutospacing="1"/>
      <w:jc w:val="left"/>
    </w:pPr>
    <w:rPr>
      <w:rFonts w:ascii="Times New Roman" w:eastAsia="宋体" w:cs="Times New Roman" w:hAnsi="Times New Roman"/>
      <w:kern w:val="0"/>
      <w:sz w:val="24"/>
      <w:szCs w:val="30"/>
      <w:lang w:val="en-US" w:eastAsia="zh-CN" w:bidi="ar-SA"/>
    </w:rPr>
  </w:style>
  <w:style w:type="paragraph" w:customStyle="1" w:styleId="30">
    <w:name w:val="样式 1 三号"/>
    <w:next w:val="26"/>
    <w:pPr>
      <w:widowControl w:val="0"/>
      <w:jc w:val="both"/>
    </w:pPr>
    <w:rPr>
      <w:rFonts w:ascii="Times New Roman" w:eastAsia="方正仿宋_GBK" w:cs="Times New Roman" w:hAnsi="Times New Roman"/>
      <w:kern w:val="2"/>
      <w:sz w:val="32"/>
      <w:szCs w:val="22"/>
      <w:lang w:val="en-US" w:eastAsia="zh-CN" w:bidi="ar-SA"/>
    </w:rPr>
  </w:style>
  <w:style w:type="paragraph" w:customStyle="1" w:styleId="31">
    <w:name w:val="样式 32 三号"/>
    <w:next w:val="24"/>
    <w:pPr>
      <w:widowControl w:val="0"/>
      <w:jc w:val="both"/>
    </w:pPr>
    <w:rPr>
      <w:rFonts w:ascii="Times New Roman" w:eastAsia="方正仿宋_GBK" w:cs="Times New Roman" w:hAnsi="Times New Roman"/>
      <w:kern w:val="2"/>
      <w:sz w:val="32"/>
      <w:szCs w:val="22"/>
      <w:lang w:val="en-US" w:eastAsia="zh-CN" w:bidi="ar-SA"/>
    </w:rPr>
  </w:style>
  <w:style w:type="paragraph" w:customStyle="1" w:styleId="32">
    <w:name w:val="样式 18 三号"/>
    <w:next w:val="21"/>
    <w:pPr>
      <w:widowControl w:val="0"/>
      <w:jc w:val="both"/>
    </w:pPr>
    <w:rPr>
      <w:rFonts w:ascii="Times New Roman" w:eastAsia="方正仿宋_GBK" w:cs="Times New Roman" w:hAnsi="Times New Roman"/>
      <w:kern w:val="2"/>
      <w:sz w:val="32"/>
      <w:szCs w:val="22"/>
      <w:lang w:val="en-US" w:eastAsia="zh-CN" w:bidi="ar-SA"/>
    </w:rPr>
  </w:style>
  <w:style w:type="paragraph" w:customStyle="1" w:styleId="33">
    <w:name w:val="样式 40 三号"/>
    <w:next w:val="25"/>
    <w:pPr>
      <w:widowControl w:val="0"/>
      <w:jc w:val="both"/>
    </w:pPr>
    <w:rPr>
      <w:rFonts w:ascii="Times New Roman" w:eastAsia="方正仿宋_GBK" w:cs="Times New Roman" w:hAnsi="Times New Roman"/>
      <w:kern w:val="2"/>
      <w:sz w:val="32"/>
      <w:szCs w:val="22"/>
      <w:lang w:val="en-US" w:eastAsia="zh-CN" w:bidi="ar-SA"/>
    </w:rPr>
  </w:style>
  <w:style w:type="paragraph" w:customStyle="1" w:styleId="34">
    <w:name w:val="样式 小三"/>
    <w:next w:val="15"/>
    <w:pPr>
      <w:widowControl w:val="0"/>
      <w:jc w:val="both"/>
    </w:pPr>
    <w:rPr>
      <w:rFonts w:ascii="Times New Roman" w:eastAsia="宋体" w:cs="Times New Roman" w:hAnsi="Times New Roman"/>
      <w:kern w:val="2"/>
      <w:sz w:val="30"/>
      <w:szCs w:val="30"/>
      <w:lang w:val="en-US" w:eastAsia="zh-CN" w:bidi="ar-SA"/>
    </w:rPr>
  </w:style>
  <w:style w:type="paragraph" w:customStyle="1" w:styleId="35">
    <w:name w:val="样式 5 小三"/>
    <w:next w:val="16"/>
    <w:pPr>
      <w:widowControl w:val="0"/>
      <w:jc w:val="both"/>
    </w:pPr>
    <w:rPr>
      <w:rFonts w:ascii="Times New Roman" w:eastAsia="宋体" w:cs="Times New Roman" w:hAnsi="Times New Roman"/>
      <w:kern w:val="2"/>
      <w:sz w:val="30"/>
      <w:szCs w:val="30"/>
      <w:lang w:val="en-US" w:eastAsia="zh-CN" w:bidi="ar-SA"/>
    </w:rPr>
  </w:style>
  <w:style w:type="paragraph" w:customStyle="1" w:styleId="36">
    <w:name w:val="样式 16 小三"/>
    <w:next w:val="19"/>
    <w:pPr>
      <w:widowControl w:val="0"/>
      <w:jc w:val="both"/>
    </w:pPr>
    <w:rPr>
      <w:rFonts w:ascii="Times New Roman" w:eastAsia="宋体" w:cs="Times New Roman" w:hAnsi="Times New Roman"/>
      <w:kern w:val="2"/>
      <w:sz w:val="30"/>
      <w:szCs w:val="30"/>
      <w:lang w:val="en-US" w:eastAsia="zh-CN" w:bidi="ar-SA"/>
    </w:rPr>
  </w:style>
  <w:style w:type="paragraph" w:customStyle="1" w:styleId="37">
    <w:name w:val="样式 8 小三"/>
    <w:next w:val="17"/>
    <w:pPr>
      <w:widowControl w:val="0"/>
      <w:jc w:val="both"/>
    </w:pPr>
    <w:rPr>
      <w:rFonts w:ascii="Times New Roman" w:eastAsia="宋体" w:cs="Times New Roman" w:hAnsi="Times New Roman"/>
      <w:kern w:val="2"/>
      <w:sz w:val="30"/>
      <w:szCs w:val="30"/>
      <w:lang w:val="en-US" w:eastAsia="zh-CN" w:bidi="ar-SA"/>
    </w:rPr>
  </w:style>
  <w:style w:type="paragraph" w:customStyle="1" w:styleId="38">
    <w:name w:val="样式 17 小三"/>
    <w:next w:val="20"/>
    <w:pPr>
      <w:widowControl w:val="0"/>
      <w:jc w:val="both"/>
    </w:pPr>
    <w:rPr>
      <w:rFonts w:ascii="Times New Roman" w:eastAsia="宋体" w:cs="Times New Roman" w:hAnsi="Times New Roman"/>
      <w:kern w:val="2"/>
      <w:sz w:val="30"/>
      <w:szCs w:val="30"/>
      <w:lang w:val="en-US" w:eastAsia="zh-CN" w:bidi="ar-SA"/>
    </w:rPr>
  </w:style>
  <w:style w:type="paragraph" w:customStyle="1" w:styleId="39">
    <w:name w:val="样式 12 小三"/>
    <w:next w:val="18"/>
    <w:pPr>
      <w:widowControl w:val="0"/>
      <w:jc w:val="both"/>
    </w:pPr>
    <w:rPr>
      <w:rFonts w:ascii="Times New Roman" w:eastAsia="宋体" w:cs="Times New Roman" w:hAnsi="Times New Roman"/>
      <w:kern w:val="2"/>
      <w:sz w:val="30"/>
      <w:szCs w:val="30"/>
      <w:lang w:val="en-US" w:eastAsia="zh-CN" w:bidi="ar-SA"/>
    </w:rPr>
  </w:style>
  <w:style w:type="paragraph" w:customStyle="1" w:styleId="40">
    <w:name w:val="样式 23 三号"/>
    <w:next w:val="22"/>
    <w:pPr>
      <w:widowControl w:val="0"/>
      <w:jc w:val="both"/>
    </w:pPr>
    <w:rPr>
      <w:rFonts w:ascii="Times New Roman" w:eastAsia="方正仿宋_GBK" w:cs="Times New Roman" w:hAnsi="Times New Roman"/>
      <w:kern w:val="2"/>
      <w:sz w:val="32"/>
      <w:szCs w:val="22"/>
      <w:lang w:val="en-US" w:eastAsia="zh-CN" w:bidi="ar-SA"/>
    </w:rPr>
  </w:style>
  <w:style w:type="paragraph" w:customStyle="1" w:styleId="41">
    <w:name w:val="样式 30 三号"/>
    <w:next w:val="23"/>
    <w:pPr>
      <w:widowControl w:val="0"/>
      <w:jc w:val="both"/>
    </w:pPr>
    <w:rPr>
      <w:rFonts w:ascii="Times New Roman" w:eastAsia="方正仿宋_GBK" w:cs="Times New Roman" w:hAnsi="Times New Roman"/>
      <w:kern w:val="2"/>
      <w:sz w:val="32"/>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7</Pages>
  <Words>2331</Words>
  <Characters>2459</Characters>
  <Lines>427</Lines>
  <Paragraphs>310</Paragraphs>
  <CharactersWithSpaces>2459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杨凯</dc:creator>
  <cp:lastModifiedBy>杨凯</cp:lastModifiedBy>
  <cp:revision>1</cp:revision>
  <dcterms:created xsi:type="dcterms:W3CDTF">2025-02-17T06:31:56Z</dcterms:created>
  <dcterms:modified xsi:type="dcterms:W3CDTF">2025-03-14T07:31:09Z</dcterms:modified>
</cp:coreProperties>
</file>